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60"/>
        <w:jc w:val="center"/>
      </w:pPr>
      <w:r>
        <w:rPr>
          <w:rFonts w:ascii="Arial" w:cs="Arial" w:eastAsia="Arial" w:hAnsi="Arial"/>
          <w:b/>
          <w:bCs/>
          <w:color w:val="FFFFFF"/>
          <w:sz w:val="30"/>
          <w:szCs w:val="30"/>
        </w:rPr>
        <w:t xml:space="preserve">SEMESTER VIII</w:t>
      </w:r>
    </w:p>
    <w:p>
      <w:pPr>
        <w:spacing w:after="60" w:before="100"/>
        <w:jc w:val="center"/>
      </w:pPr>
      <w:r>
        <w:rPr>
          <w:rFonts w:ascii="Arial" w:cs="Arial" w:eastAsia="Arial" w:hAnsi="Arial"/>
          <w:b/>
          <w:bCs/>
          <w:color w:val="1F3864"/>
          <w:sz w:val="30"/>
          <w:szCs w:val="30"/>
        </w:rPr>
        <w:t xml:space="preserve">CSE11191  –  Cyber Forensics</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5160"/>
        <w:gridCol w:w="500"/>
        <w:gridCol w:w="500"/>
        <w:gridCol w:w="500"/>
        <w:gridCol w:w="500"/>
      </w:tblGrid>
      <w:tr>
        <w:tc>
          <w:tcPr>
            <w:tcW w:type="dxa" w:w="220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CSE11191</w:t>
            </w:r>
          </w:p>
        </w:tc>
        <w:tc>
          <w:tcPr>
            <w:tcW w:type="dxa" w:w="516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Cyber Forensics</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L</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T</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P</w:t>
            </w:r>
          </w:p>
        </w:tc>
        <w:tc>
          <w:tcPr>
            <w:tcW w:type="dxa" w:w="5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w:t>
            </w:r>
          </w:p>
        </w:tc>
      </w:tr>
      <w:tr>
        <w:tc>
          <w:tcPr>
            <w:tcW w:type="dxa" w:w="22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Version 1.0</w:t>
            </w:r>
          </w:p>
        </w:tc>
        <w:tc>
          <w:tcPr>
            <w:tcW w:type="dxa" w:w="516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Contact Hours – 45</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3</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1</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0</w:t>
            </w:r>
          </w:p>
        </w:tc>
        <w:tc>
          <w:tcPr>
            <w:tcW w:type="dxa" w:w="50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4</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Pre-requisite / Exposure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r>
        <w:tc>
          <w:tcPr>
            <w:tcW w:type="dxa" w:w="22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Co-requisite</w:t>
            </w:r>
          </w:p>
        </w:tc>
        <w:tc>
          <w:tcPr>
            <w:tcW w:type="dxa" w:w="7160"/>
            <w:gridSpan w:val="5"/>
            <w:tcBorders>
              <w:top w:val="single" w:color="999999" w:sz="2"/>
              <w:left w:val="single" w:color="999999" w:sz="2"/>
              <w:bottom w:val="single" w:color="999999" w:sz="2"/>
              <w:right w:val="single" w:color="999999" w:sz="2"/>
            </w:tcBorders>
            <w:tcMar>
              <w:top w:type="dxa" w:w="60"/>
              <w:left w:type="dxa" w:w="100"/>
              <w:bottom w:type="dxa" w:w="60"/>
              <w:right w:type="dxa" w:w="100"/>
            </w:tcMar>
          </w:tcPr>
          <w:p>
            <w:r>
              <w:rPr>
                <w:rFonts w:ascii="Arial" w:cs="Arial" w:eastAsia="Arial" w:hAnsi="Arial"/>
                <w:sz w:val="22"/>
                <w:szCs w:val="22"/>
              </w:rPr>
              <w:t xml:space="preserve">NIL</w:t>
            </w:r>
          </w:p>
        </w:tc>
      </w:tr>
    </w:tbl>
    <w:p>
      <w:pPr>
        <w:pBdr>
          <w:bottom w:val="single" w:color="2E75B6" w:sz="6" w:space="2"/>
        </w:pBdr>
        <w:spacing w:after="120" w:before="260"/>
      </w:pPr>
      <w:r>
        <w:rPr>
          <w:rFonts w:ascii="Arial" w:cs="Arial" w:eastAsia="Arial" w:hAnsi="Arial"/>
          <w:b/>
          <w:bCs/>
          <w:color w:val="1F3864"/>
          <w:sz w:val="26"/>
          <w:szCs w:val="26"/>
        </w:rPr>
        <w:t xml:space="preserve">Course Objectives</w:t>
      </w:r>
    </w:p>
    <w:p>
      <w:pPr>
        <w:pStyle w:val="ListParagraph"/>
        <w:numPr>
          <w:ilvl w:val="0"/>
          <w:numId w:val="2"/>
        </w:numPr>
        <w:spacing w:after="60"/>
        <w:jc w:val="both"/>
      </w:pPr>
      <w:r>
        <w:rPr>
          <w:rFonts w:ascii="Arial" w:cs="Arial" w:eastAsia="Arial" w:hAnsi="Arial"/>
          <w:sz w:val="22"/>
          <w:szCs w:val="22"/>
        </w:rPr>
        <w:t xml:space="preserve">To introduce students to the principles and methodologies of cyber forensics.</w:t>
      </w:r>
    </w:p>
    <w:p>
      <w:pPr>
        <w:pStyle w:val="ListParagraph"/>
        <w:numPr>
          <w:ilvl w:val="0"/>
          <w:numId w:val="2"/>
        </w:numPr>
        <w:spacing w:after="60"/>
        <w:jc w:val="both"/>
      </w:pPr>
      <w:r>
        <w:rPr>
          <w:rFonts w:ascii="Arial" w:cs="Arial" w:eastAsia="Arial" w:hAnsi="Arial"/>
          <w:sz w:val="22"/>
          <w:szCs w:val="22"/>
        </w:rPr>
        <w:t xml:space="preserve">To familiarize students with forensic tools and techniques for investigating cybercrimes.</w:t>
      </w:r>
    </w:p>
    <w:p>
      <w:pPr>
        <w:pStyle w:val="ListParagraph"/>
        <w:numPr>
          <w:ilvl w:val="0"/>
          <w:numId w:val="2"/>
        </w:numPr>
        <w:spacing w:after="60"/>
        <w:jc w:val="both"/>
      </w:pPr>
      <w:r>
        <w:rPr>
          <w:rFonts w:ascii="Arial" w:cs="Arial" w:eastAsia="Arial" w:hAnsi="Arial"/>
          <w:sz w:val="22"/>
          <w:szCs w:val="22"/>
        </w:rPr>
        <w:t xml:space="preserve">To analyze digital evidence collection, preservation, and recovery methods.</w:t>
      </w:r>
    </w:p>
    <w:p>
      <w:pPr>
        <w:pStyle w:val="ListParagraph"/>
        <w:numPr>
          <w:ilvl w:val="0"/>
          <w:numId w:val="2"/>
        </w:numPr>
        <w:spacing w:after="60"/>
        <w:jc w:val="both"/>
      </w:pPr>
      <w:r>
        <w:rPr>
          <w:rFonts w:ascii="Arial" w:cs="Arial" w:eastAsia="Arial" w:hAnsi="Arial"/>
          <w:sz w:val="22"/>
          <w:szCs w:val="22"/>
        </w:rPr>
        <w:t xml:space="preserve">To understand legal and ethical aspects of cyber forensics.</w:t>
      </w:r>
    </w:p>
    <w:p>
      <w:pPr>
        <w:pStyle w:val="ListParagraph"/>
        <w:numPr>
          <w:ilvl w:val="0"/>
          <w:numId w:val="2"/>
        </w:numPr>
        <w:spacing w:after="60"/>
        <w:jc w:val="both"/>
      </w:pPr>
      <w:r>
        <w:rPr>
          <w:rFonts w:ascii="Arial" w:cs="Arial" w:eastAsia="Arial" w:hAnsi="Arial"/>
          <w:sz w:val="22"/>
          <w:szCs w:val="22"/>
        </w:rPr>
        <w:t xml:space="preserve">To develop skills for handling forensic cases and preparing forensic reports.</w:t>
      </w:r>
    </w:p>
    <w:p>
      <w:pPr>
        <w:pBdr>
          <w:bottom w:val="single" w:color="2E75B6" w:sz="6" w:space="2"/>
        </w:pBdr>
        <w:spacing w:after="120" w:before="260"/>
      </w:pPr>
      <w:r>
        <w:rPr>
          <w:rFonts w:ascii="Arial" w:cs="Arial" w:eastAsia="Arial" w:hAnsi="Arial"/>
          <w:b/>
          <w:bCs/>
          <w:color w:val="1F3864"/>
          <w:sz w:val="26"/>
          <w:szCs w:val="26"/>
        </w:rPr>
        <w:t xml:space="preserve">Course Outcomes</w:t>
      </w:r>
    </w:p>
    <w:p>
      <w:pPr>
        <w:spacing w:after="120"/>
        <w:jc w:val="both"/>
      </w:pPr>
      <w:r>
        <w:rPr>
          <w:rFonts w:ascii="Arial" w:cs="Arial" w:eastAsia="Arial" w:hAnsi="Arial"/>
          <w:sz w:val="22"/>
          <w:szCs w:val="22"/>
        </w:rPr>
        <w:t xml:space="preserve">Upon completion of this course, students will be able to:</w:t>
      </w:r>
    </w:p>
    <w:p>
      <w:pPr>
        <w:pStyle w:val="ListParagraph"/>
        <w:numPr>
          <w:ilvl w:val="0"/>
          <w:numId w:val="2"/>
        </w:numPr>
        <w:spacing w:after="60"/>
        <w:jc w:val="both"/>
      </w:pPr>
      <w:r>
        <w:rPr>
          <w:rFonts w:ascii="Arial" w:cs="Arial" w:eastAsia="Arial" w:hAnsi="Arial"/>
          <w:sz w:val="22"/>
          <w:szCs w:val="22"/>
        </w:rPr>
        <w:t xml:space="preserve">CO1: Understand the fundamentals of cyber forensics and digital investigation.</w:t>
      </w:r>
    </w:p>
    <w:p>
      <w:pPr>
        <w:pStyle w:val="ListParagraph"/>
        <w:numPr>
          <w:ilvl w:val="0"/>
          <w:numId w:val="2"/>
        </w:numPr>
        <w:spacing w:after="60"/>
        <w:jc w:val="both"/>
      </w:pPr>
      <w:r>
        <w:rPr>
          <w:rFonts w:ascii="Arial" w:cs="Arial" w:eastAsia="Arial" w:hAnsi="Arial"/>
          <w:sz w:val="22"/>
          <w:szCs w:val="22"/>
        </w:rPr>
        <w:t xml:space="preserve">CO2: Apply forensic tools to acquire and analyze digital evidence.</w:t>
      </w:r>
    </w:p>
    <w:p>
      <w:pPr>
        <w:pStyle w:val="ListParagraph"/>
        <w:numPr>
          <w:ilvl w:val="0"/>
          <w:numId w:val="2"/>
        </w:numPr>
        <w:spacing w:after="60"/>
        <w:jc w:val="both"/>
      </w:pPr>
      <w:r>
        <w:rPr>
          <w:rFonts w:ascii="Arial" w:cs="Arial" w:eastAsia="Arial" w:hAnsi="Arial"/>
          <w:sz w:val="22"/>
          <w:szCs w:val="22"/>
        </w:rPr>
        <w:t xml:space="preserve">CO3: Investigate network intrusions, malware, and data breaches.</w:t>
      </w:r>
    </w:p>
    <w:p>
      <w:pPr>
        <w:pStyle w:val="ListParagraph"/>
        <w:numPr>
          <w:ilvl w:val="0"/>
          <w:numId w:val="2"/>
        </w:numPr>
        <w:spacing w:after="60"/>
        <w:jc w:val="both"/>
      </w:pPr>
      <w:r>
        <w:rPr>
          <w:rFonts w:ascii="Arial" w:cs="Arial" w:eastAsia="Arial" w:hAnsi="Arial"/>
          <w:sz w:val="22"/>
          <w:szCs w:val="22"/>
        </w:rPr>
        <w:t xml:space="preserve">CO4: Evaluate legal and ethical considerations in cyber forensics.</w:t>
      </w:r>
    </w:p>
    <w:p>
      <w:pPr>
        <w:pStyle w:val="ListParagraph"/>
        <w:numPr>
          <w:ilvl w:val="0"/>
          <w:numId w:val="2"/>
        </w:numPr>
        <w:spacing w:after="60"/>
        <w:jc w:val="both"/>
      </w:pPr>
      <w:r>
        <w:rPr>
          <w:rFonts w:ascii="Arial" w:cs="Arial" w:eastAsia="Arial" w:hAnsi="Arial"/>
          <w:sz w:val="22"/>
          <w:szCs w:val="22"/>
        </w:rPr>
        <w:t xml:space="preserve">CO5: Prepare forensic reports and present findings in a structured manner.</w:t>
      </w:r>
    </w:p>
    <w:p>
      <w:pPr>
        <w:pBdr>
          <w:bottom w:val="single" w:color="2E75B6" w:sz="6" w:space="2"/>
        </w:pBdr>
        <w:spacing w:after="120" w:before="260"/>
      </w:pPr>
      <w:r>
        <w:rPr>
          <w:rFonts w:ascii="Arial" w:cs="Arial" w:eastAsia="Arial" w:hAnsi="Arial"/>
          <w:b/>
          <w:bCs/>
          <w:color w:val="1F3864"/>
          <w:sz w:val="26"/>
          <w:szCs w:val="26"/>
        </w:rPr>
        <w:t xml:space="preserve">Catalog Description</w:t>
      </w:r>
    </w:p>
    <w:p>
      <w:pPr>
        <w:spacing w:after="120"/>
        <w:jc w:val="both"/>
      </w:pPr>
      <w:r>
        <w:rPr>
          <w:rFonts w:ascii="Arial" w:cs="Arial" w:eastAsia="Arial" w:hAnsi="Arial"/>
          <w:sz w:val="22"/>
          <w:szCs w:val="22"/>
        </w:rPr>
        <w:t xml:space="preserve">This course provides a comprehensive understanding of cyber forensics, covering forensic investigation methodologies, digital evidence acquisition, and analysis techniques. Students will explore topics such as cybercrime investigation, network forensics, mobile forensics, and legal considerations. The course includes hands-on exposure to forensic tools used in real-world cases.</w:t>
      </w:r>
    </w:p>
    <w:p>
      <w:pPr>
        <w:pBdr>
          <w:bottom w:val="single" w:color="2E75B6" w:sz="6" w:space="2"/>
        </w:pBdr>
        <w:spacing w:after="120" w:before="260"/>
      </w:pPr>
      <w:r>
        <w:rPr>
          <w:rFonts w:ascii="Arial" w:cs="Arial" w:eastAsia="Arial" w:hAnsi="Arial"/>
          <w:b/>
          <w:bCs/>
          <w:color w:val="1F3864"/>
          <w:sz w:val="26"/>
          <w:szCs w:val="26"/>
        </w:rPr>
        <w:t xml:space="preserve">Course Content</w:t>
      </w:r>
    </w:p>
    <w:p>
      <w:pPr>
        <w:spacing w:after="40" w:before="120"/>
      </w:pPr>
      <w:r>
        <w:rPr>
          <w:rFonts w:ascii="Arial" w:cs="Arial" w:eastAsia="Arial" w:hAnsi="Arial"/>
          <w:b/>
          <w:bCs/>
          <w:color w:val="1F3864"/>
          <w:sz w:val="22"/>
          <w:szCs w:val="22"/>
        </w:rPr>
        <w:t xml:space="preserve">Unit 1: Introduction to Cyber Forensics</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Definition and importance of cyber forensics. Cybercrime types and investigation process. Digital evidence: Characteristics, integrity, and handling.</w:t>
      </w:r>
    </w:p>
    <w:p>
      <w:pPr>
        <w:spacing w:after="40" w:before="120"/>
      </w:pPr>
      <w:r>
        <w:rPr>
          <w:rFonts w:ascii="Arial" w:cs="Arial" w:eastAsia="Arial" w:hAnsi="Arial"/>
          <w:b/>
          <w:bCs/>
          <w:color w:val="1F3864"/>
          <w:sz w:val="22"/>
          <w:szCs w:val="22"/>
        </w:rPr>
        <w:t xml:space="preserve">Unit 2: Evidence Collection and Preservation</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Techniques for acquiring and preserving digital evidence. Disk imaging and forensic duplication. Hashing techniques and chain of custody.</w:t>
      </w:r>
    </w:p>
    <w:p>
      <w:pPr>
        <w:spacing w:after="40" w:before="120"/>
      </w:pPr>
      <w:r>
        <w:rPr>
          <w:rFonts w:ascii="Arial" w:cs="Arial" w:eastAsia="Arial" w:hAnsi="Arial"/>
          <w:b/>
          <w:bCs/>
          <w:color w:val="1F3864"/>
          <w:sz w:val="22"/>
          <w:szCs w:val="22"/>
        </w:rPr>
        <w:t xml:space="preserve">Unit 3: Network and System Forensics</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Network traffic analysis and intrusion detection. Log analysis and SIEM tools. Forensics on Windows and Linux systems.</w:t>
      </w:r>
    </w:p>
    <w:p>
      <w:pPr>
        <w:spacing w:after="40" w:before="120"/>
      </w:pPr>
      <w:r>
        <w:rPr>
          <w:rFonts w:ascii="Arial" w:cs="Arial" w:eastAsia="Arial" w:hAnsi="Arial"/>
          <w:b/>
          <w:bCs/>
          <w:color w:val="1F3864"/>
          <w:sz w:val="22"/>
          <w:szCs w:val="22"/>
        </w:rPr>
        <w:t xml:space="preserve">Unit 4: Mobile and Cloud Forensics</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Mobile device data extraction and analysis. Cloud forensics: Challenges and methodologies. Internet of Things (IoT) forensics.</w:t>
      </w:r>
    </w:p>
    <w:p>
      <w:pPr>
        <w:spacing w:after="40" w:before="120"/>
      </w:pPr>
      <w:r>
        <w:rPr>
          <w:rFonts w:ascii="Arial" w:cs="Arial" w:eastAsia="Arial" w:hAnsi="Arial"/>
          <w:b/>
          <w:bCs/>
          <w:color w:val="1F3864"/>
          <w:sz w:val="22"/>
          <w:szCs w:val="22"/>
        </w:rPr>
        <w:t xml:space="preserve">Unit 5: Legal, Ethical, and Reporting Aspects</w:t>
      </w:r>
      <w:r>
        <w:rPr>
          <w:rFonts w:ascii="Arial" w:cs="Arial" w:eastAsia="Arial" w:hAnsi="Arial"/>
          <w:b/>
          <w:bCs/>
          <w:color w:val="2E75B6"/>
          <w:sz w:val="20"/>
          <w:szCs w:val="20"/>
        </w:rPr>
        <w:t xml:space="preserve">    [9 Hours]</w:t>
      </w:r>
    </w:p>
    <w:p>
      <w:pPr>
        <w:spacing w:after="120"/>
        <w:jc w:val="both"/>
      </w:pPr>
      <w:r>
        <w:rPr>
          <w:rFonts w:ascii="Arial" w:cs="Arial" w:eastAsia="Arial" w:hAnsi="Arial"/>
          <w:sz w:val="22"/>
          <w:szCs w:val="22"/>
        </w:rPr>
        <w:t xml:space="preserve">Cyber laws and legal frameworks (IT Act, GDPR, HIPAA). Ethical considerations in digital forensics. Writing forensic reports and presenting findings.</w:t>
      </w:r>
    </w:p>
    <w:p>
      <w:pPr>
        <w:pBdr>
          <w:bottom w:val="single" w:color="2E75B6" w:sz="6" w:space="2"/>
        </w:pBdr>
        <w:spacing w:after="120" w:before="260"/>
      </w:pPr>
      <w:r>
        <w:rPr>
          <w:rFonts w:ascii="Arial" w:cs="Arial" w:eastAsia="Arial" w:hAnsi="Arial"/>
          <w:b/>
          <w:bCs/>
          <w:color w:val="1F3864"/>
          <w:sz w:val="26"/>
          <w:szCs w:val="26"/>
        </w:rPr>
        <w:t xml:space="preserve">Modes of Evaluation</w:t>
      </w:r>
    </w:p>
    <w:p>
      <w:pPr>
        <w:spacing w:after="120"/>
        <w:jc w:val="both"/>
      </w:pPr>
      <w:r>
        <w:rPr>
          <w:rFonts w:ascii="Arial" w:cs="Arial" w:eastAsia="Arial" w:hAnsi="Arial"/>
          <w:sz w:val="22"/>
          <w:szCs w:val="22"/>
        </w:rPr>
        <w:t xml:space="preserve">Quiz, Assignments, Case Study Reports, Lab Exercises, Viva</w:t>
      </w:r>
    </w:p>
    <w:p>
      <w:pPr>
        <w:pBdr>
          <w:bottom w:val="single" w:color="2E75B6" w:sz="6" w:space="2"/>
        </w:pBdr>
        <w:spacing w:after="120" w:before="260"/>
      </w:pPr>
      <w:r>
        <w:rPr>
          <w:rFonts w:ascii="Arial" w:cs="Arial" w:eastAsia="Arial" w:hAnsi="Arial"/>
          <w:b/>
          <w:bCs/>
          <w:color w:val="1F3864"/>
          <w:sz w:val="26"/>
          <w:szCs w:val="26"/>
        </w:rPr>
        <w:t xml:space="preserve">Examination Scheme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999999" w:sz="2"/>
              <w:left w:val="single" w:color="999999" w:sz="2"/>
              <w:bottom w:val="single" w:color="999999" w:sz="2"/>
              <w:right w:val="single" w:color="999999" w:sz="2"/>
            </w:tcBorders>
            <w:shd w:fill="2E75B6" w:val="clear"/>
            <w:tcMar>
              <w:top w:type="dxa" w:w="60"/>
              <w:left w:type="dxa" w:w="100"/>
              <w:bottom w:type="dxa" w:w="60"/>
              <w:right w:type="dxa" w:w="100"/>
            </w:tcMar>
            <w:vAlign w:val="center"/>
          </w:tcPr>
          <w:p>
            <w:r>
              <w:rPr>
                <w:rFonts w:ascii="Arial" w:cs="Arial" w:eastAsia="Arial" w:hAnsi="Arial"/>
                <w:b/>
                <w:bCs/>
                <w:sz w:val="22"/>
                <w:szCs w:val="22"/>
              </w:rPr>
              <w:t xml:space="preserve">Components</w:t>
            </w:r>
          </w:p>
        </w:tc>
        <w:tc>
          <w:tcPr>
            <w:tcW w:type="dxa" w:w="368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Continuous Assessment</w:t>
            </w:r>
          </w:p>
        </w:tc>
        <w:tc>
          <w:tcPr>
            <w:tcW w:type="dxa" w:w="3680"/>
            <w:tcBorders>
              <w:top w:val="single" w:color="999999" w:sz="2"/>
              <w:left w:val="single" w:color="999999" w:sz="2"/>
              <w:bottom w:val="single" w:color="999999" w:sz="2"/>
              <w:right w:val="single" w:color="999999" w:sz="2"/>
            </w:tcBorders>
            <w:shd w:fill="D9E2F3" w:val="clear"/>
            <w:tcMar>
              <w:top w:type="dxa" w:w="60"/>
              <w:left w:type="dxa" w:w="100"/>
              <w:bottom w:type="dxa" w:w="60"/>
              <w:right w:type="dxa" w:w="100"/>
            </w:tcMar>
            <w:vAlign w:val="center"/>
          </w:tcPr>
          <w:p>
            <w:r>
              <w:rPr>
                <w:rFonts w:ascii="Arial" w:cs="Arial" w:eastAsia="Arial" w:hAnsi="Arial"/>
                <w:b/>
                <w:bCs/>
                <w:sz w:val="22"/>
                <w:szCs w:val="22"/>
              </w:rPr>
              <w:t xml:space="preserve">ETE (End-Term Exam)</w:t>
            </w:r>
          </w:p>
        </w:tc>
      </w:tr>
      <w:tr>
        <w:tc>
          <w:tcPr>
            <w:tcW w:type="dxa" w:w="2000"/>
            <w:tcBorders>
              <w:top w:val="single" w:color="999999" w:sz="2"/>
              <w:left w:val="single" w:color="999999" w:sz="2"/>
              <w:bottom w:val="single" w:color="999999" w:sz="2"/>
              <w:right w:val="single" w:color="999999" w:sz="2"/>
            </w:tcBorders>
            <w:shd w:fill="F2F2F2" w:val="clear"/>
            <w:tcMar>
              <w:top w:type="dxa" w:w="60"/>
              <w:left w:type="dxa" w:w="100"/>
              <w:bottom w:type="dxa" w:w="60"/>
              <w:right w:type="dxa" w:w="100"/>
            </w:tcMar>
            <w:vAlign w:val="center"/>
          </w:tcPr>
          <w:p>
            <w:r>
              <w:rPr>
                <w:rFonts w:ascii="Arial" w:cs="Arial" w:eastAsia="Arial" w:hAnsi="Arial"/>
                <w:b/>
                <w:bCs/>
                <w:sz w:val="22"/>
                <w:szCs w:val="22"/>
              </w:rPr>
              <w:t xml:space="preserve">Weightage (%)</w:t>
            </w:r>
          </w:p>
        </w:tc>
        <w:tc>
          <w:tcPr>
            <w:tcW w:type="dxa" w:w="368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c>
          <w:tcPr>
            <w:tcW w:type="dxa" w:w="3680"/>
            <w:tcBorders>
              <w:top w:val="single" w:color="999999" w:sz="2"/>
              <w:left w:val="single" w:color="999999" w:sz="2"/>
              <w:bottom w:val="single" w:color="999999" w:sz="2"/>
              <w:right w:val="single" w:color="999999" w:sz="2"/>
            </w:tcBorders>
            <w:tcMar>
              <w:top w:type="dxa" w:w="60"/>
              <w:left w:type="dxa" w:w="100"/>
              <w:bottom w:type="dxa" w:w="60"/>
              <w:right w:type="dxa" w:w="100"/>
            </w:tcMar>
            <w:vAlign w:val="center"/>
          </w:tcPr>
          <w:p>
            <w:r>
              <w:rPr>
                <w:rFonts w:ascii="Arial" w:cs="Arial" w:eastAsia="Arial" w:hAnsi="Arial"/>
                <w:b w:val="false"/>
                <w:bCs w:val="false"/>
                <w:sz w:val="22"/>
                <w:szCs w:val="22"/>
              </w:rPr>
              <w:t xml:space="preserve">50</w:t>
            </w:r>
          </w:p>
        </w:tc>
      </w:tr>
    </w:tbl>
    <w:p>
      <w:pPr>
        <w:pBdr>
          <w:bottom w:val="single" w:color="2E75B6" w:sz="6" w:space="2"/>
        </w:pBdr>
        <w:spacing w:after="120" w:before="260"/>
      </w:pPr>
      <w:r>
        <w:rPr>
          <w:rFonts w:ascii="Arial" w:cs="Arial" w:eastAsia="Arial" w:hAnsi="Arial"/>
          <w:b/>
          <w:bCs/>
          <w:color w:val="1F3864"/>
          <w:sz w:val="26"/>
          <w:szCs w:val="26"/>
        </w:rPr>
        <w:t xml:space="preserve">CO–PO / PSO Articulation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60"/>
        <w:gridCol w:w="540"/>
        <w:gridCol w:w="540"/>
        <w:gridCol w:w="540"/>
        <w:gridCol w:w="540"/>
        <w:gridCol w:w="540"/>
        <w:gridCol w:w="540"/>
        <w:gridCol w:w="540"/>
        <w:gridCol w:w="540"/>
        <w:gridCol w:w="540"/>
        <w:gridCol w:w="540"/>
        <w:gridCol w:w="540"/>
        <w:gridCol w:w="540"/>
        <w:gridCol w:w="540"/>
        <w:gridCol w:w="540"/>
        <w:gridCol w:w="540"/>
      </w:tblGrid>
      <w:tr>
        <w:trPr>
          <w:tblHeader/>
        </w:trPr>
        <w:tc>
          <w:tcPr>
            <w:tcW w:type="dxa" w:w="126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PO3</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PO4</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PO5</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PO6</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PO7</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PO8</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PO9</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PO10</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PO12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PSO1</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PSO2</w:t>
            </w:r>
          </w:p>
        </w:tc>
        <w:tc>
          <w:tcPr>
            <w:tcW w:type="dxa" w:w="540"/>
            <w:tcBorders>
              <w:top w:val="single" w:color="999999" w:sz="2"/>
              <w:left w:val="single" w:color="999999" w:sz="2"/>
              <w:bottom w:val="single" w:color="999999" w:sz="2"/>
              <w:right w:val="single" w:color="999999" w:sz="2"/>
            </w:tcBorders>
            <w:shd w:fill="2E75B6"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PSO3</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1</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CO4</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r>
        <w:tc>
          <w:tcPr>
            <w:tcW w:type="dxa" w:w="1260"/>
            <w:tcBorders>
              <w:top w:val="single" w:color="999999" w:sz="2"/>
              <w:left w:val="single" w:color="999999" w:sz="2"/>
              <w:bottom w:val="single" w:color="999999" w:sz="2"/>
              <w:right w:val="single" w:color="999999" w:sz="2"/>
            </w:tcBorders>
            <w:shd w:fill="F2F2F2" w:val="clear"/>
            <w:tcMar>
              <w:top w:type="dxa" w:w="30"/>
              <w:left w:type="dxa" w:w="30"/>
              <w:bottom w:type="dxa" w:w="30"/>
              <w:right w:type="dxa" w:w="30"/>
            </w:tcMar>
            <w:vAlign w:val="center"/>
          </w:tcPr>
          <w:p>
            <w:pPr>
              <w:jc w:val="center"/>
            </w:pPr>
            <w:r>
              <w:rPr>
                <w:rFonts w:ascii="Arial" w:cs="Arial" w:eastAsia="Arial" w:hAnsi="Arial"/>
                <w:b/>
                <w:bCs/>
                <w:sz w:val="16"/>
                <w:szCs w:val="16"/>
              </w:rPr>
              <w:t xml:space="preserve">CO5</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2</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3</w:t>
            </w:r>
          </w:p>
        </w:tc>
        <w:tc>
          <w:tcPr>
            <w:tcW w:type="dxa" w:w="540"/>
            <w:tcBorders>
              <w:top w:val="single" w:color="999999" w:sz="2"/>
              <w:left w:val="single" w:color="999999" w:sz="2"/>
              <w:bottom w:val="single" w:color="999999" w:sz="2"/>
              <w:right w:val="single" w:color="999999" w:sz="2"/>
            </w:tcBorders>
            <w:tcMar>
              <w:top w:type="dxa" w:w="30"/>
              <w:left w:type="dxa" w:w="30"/>
              <w:bottom w:type="dxa" w:w="30"/>
              <w:right w:type="dxa" w:w="30"/>
            </w:tcMar>
            <w:vAlign w:val="center"/>
          </w:tcPr>
          <w:p>
            <w:pPr>
              <w:jc w:val="center"/>
            </w:pPr>
            <w:r>
              <w:rPr>
                <w:rFonts w:ascii="Arial" w:cs="Arial" w:eastAsia="Arial" w:hAnsi="Arial"/>
                <w:b w:val="false"/>
                <w:bCs w:val="false"/>
                <w:sz w:val="16"/>
                <w:szCs w:val="16"/>
              </w:rPr>
              <w:t xml:space="preserve">-</w:t>
            </w:r>
          </w:p>
        </w:tc>
      </w:tr>
    </w:tbl>
    <w:p>
      <w:pPr>
        <w:spacing w:before="100"/>
      </w:pPr>
      <w:r>
        <w:rPr>
          <w:rFonts w:ascii="Arial" w:cs="Arial" w:eastAsia="Arial" w:hAnsi="Arial"/>
          <w:i/>
          <w:iCs/>
          <w:sz w:val="18"/>
          <w:szCs w:val="18"/>
        </w:rPr>
        <w:t xml:space="preserve">1 = Weakly Mapped   |   2 = Moderately Mapped   |   3 = Strongly Mapped   |   – = Not Mapped</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2026-06-27T07:30:00.747Z</dcterms:created>
  <dcterms:modified xsi:type="dcterms:W3CDTF">2026-06-27T07:30:00.747Z</dcterms:modified>
</cp:coreProperties>
</file>

<file path=docProps/custom.xml><?xml version="1.0" encoding="utf-8"?>
<Properties xmlns="http://schemas.openxmlformats.org/officeDocument/2006/custom-properties" xmlns:vt="http://schemas.openxmlformats.org/officeDocument/2006/docPropsVTypes"/>
</file>