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60"/>
        <w:jc w:val="center"/>
      </w:pPr>
      <w:r>
        <w:rPr>
          <w:rFonts w:ascii="Arial" w:cs="Arial" w:eastAsia="Arial" w:hAnsi="Arial"/>
          <w:b/>
          <w:bCs/>
          <w:color w:val="FFFFFF"/>
          <w:sz w:val="30"/>
          <w:szCs w:val="30"/>
        </w:rPr>
        <w:t xml:space="preserve">SEMESTER VII</w:t>
      </w:r>
    </w:p>
    <w:p>
      <w:pPr>
        <w:spacing w:after="60" w:before="100"/>
        <w:jc w:val="center"/>
      </w:pPr>
      <w:r>
        <w:rPr>
          <w:rFonts w:ascii="Arial" w:cs="Arial" w:eastAsia="Arial" w:hAnsi="Arial"/>
          <w:b/>
          <w:bCs/>
          <w:color w:val="1F3864"/>
          <w:sz w:val="30"/>
          <w:szCs w:val="30"/>
        </w:rPr>
        <w:t xml:space="preserve">CSE11189  –  Ethical Hacking</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5160"/>
        <w:gridCol w:w="500"/>
        <w:gridCol w:w="500"/>
        <w:gridCol w:w="500"/>
        <w:gridCol w:w="500"/>
      </w:tblGrid>
      <w:tr>
        <w:tc>
          <w:tcPr>
            <w:tcW w:type="dxa" w:w="220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CSE11189</w:t>
            </w:r>
          </w:p>
        </w:tc>
        <w:tc>
          <w:tcPr>
            <w:tcW w:type="dxa" w:w="516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Ethical Hacking</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L</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T</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P</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C</w:t>
            </w:r>
          </w:p>
        </w:tc>
      </w:tr>
      <w:tr>
        <w:tc>
          <w:tcPr>
            <w:tcW w:type="dxa" w:w="22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Version 1.0</w:t>
            </w:r>
          </w:p>
        </w:tc>
        <w:tc>
          <w:tcPr>
            <w:tcW w:type="dxa" w:w="516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Contact Hours – 45 Hours</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3</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0</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0</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3</w:t>
            </w:r>
          </w:p>
        </w:tc>
      </w:tr>
      <w:tr>
        <w:tc>
          <w:tcPr>
            <w:tcW w:type="dxa" w:w="22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Pre-requisite / Exposure</w:t>
            </w:r>
          </w:p>
        </w:tc>
        <w:tc>
          <w:tcPr>
            <w:tcW w:type="dxa" w:w="7160"/>
            <w:gridSpan w:val="5"/>
            <w:tcBorders>
              <w:top w:val="single" w:color="999999" w:sz="2"/>
              <w:left w:val="single" w:color="999999" w:sz="2"/>
              <w:bottom w:val="single" w:color="999999" w:sz="2"/>
              <w:right w:val="single" w:color="999999" w:sz="2"/>
            </w:tcBorders>
            <w:tcMar>
              <w:top w:type="dxa" w:w="60"/>
              <w:left w:type="dxa" w:w="100"/>
              <w:bottom w:type="dxa" w:w="60"/>
              <w:right w:type="dxa" w:w="100"/>
            </w:tcMar>
          </w:tcPr>
          <w:p>
            <w:r>
              <w:rPr>
                <w:rFonts w:ascii="Arial" w:cs="Arial" w:eastAsia="Arial" w:hAnsi="Arial"/>
                <w:sz w:val="22"/>
                <w:szCs w:val="22"/>
              </w:rPr>
              <w:t xml:space="preserve">IT Application and Data Security</w:t>
            </w:r>
          </w:p>
        </w:tc>
      </w:tr>
      <w:tr>
        <w:tc>
          <w:tcPr>
            <w:tcW w:type="dxa" w:w="22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Co-requisite</w:t>
            </w:r>
          </w:p>
        </w:tc>
        <w:tc>
          <w:tcPr>
            <w:tcW w:type="dxa" w:w="7160"/>
            <w:gridSpan w:val="5"/>
            <w:tcBorders>
              <w:top w:val="single" w:color="999999" w:sz="2"/>
              <w:left w:val="single" w:color="999999" w:sz="2"/>
              <w:bottom w:val="single" w:color="999999" w:sz="2"/>
              <w:right w:val="single" w:color="999999" w:sz="2"/>
            </w:tcBorders>
            <w:tcMar>
              <w:top w:type="dxa" w:w="60"/>
              <w:left w:type="dxa" w:w="100"/>
              <w:bottom w:type="dxa" w:w="60"/>
              <w:right w:type="dxa" w:w="100"/>
            </w:tcMar>
          </w:tcPr>
          <w:p>
            <w:r>
              <w:rPr>
                <w:rFonts w:ascii="Arial" w:cs="Arial" w:eastAsia="Arial" w:hAnsi="Arial"/>
                <w:sz w:val="22"/>
                <w:szCs w:val="22"/>
              </w:rPr>
              <w:t xml:space="preserve">NIL</w:t>
            </w:r>
          </w:p>
        </w:tc>
      </w:tr>
    </w:tbl>
    <w:p>
      <w:pPr>
        <w:pBdr>
          <w:bottom w:val="single" w:color="2E75B6" w:sz="6" w:space="2"/>
        </w:pBdr>
        <w:spacing w:after="120" w:before="260"/>
      </w:pPr>
      <w:r>
        <w:rPr>
          <w:rFonts w:ascii="Arial" w:cs="Arial" w:eastAsia="Arial" w:hAnsi="Arial"/>
          <w:b/>
          <w:bCs/>
          <w:color w:val="1F3864"/>
          <w:sz w:val="26"/>
          <w:szCs w:val="26"/>
        </w:rPr>
        <w:t xml:space="preserve">Course Objectives</w:t>
      </w:r>
    </w:p>
    <w:p>
      <w:pPr>
        <w:pStyle w:val="ListParagraph"/>
        <w:numPr>
          <w:ilvl w:val="0"/>
          <w:numId w:val="2"/>
        </w:numPr>
        <w:spacing w:after="60"/>
        <w:jc w:val="both"/>
      </w:pPr>
      <w:r>
        <w:rPr>
          <w:rFonts w:ascii="Arial" w:cs="Arial" w:eastAsia="Arial" w:hAnsi="Arial"/>
          <w:sz w:val="22"/>
          <w:szCs w:val="22"/>
        </w:rPr>
        <w:t xml:space="preserve">To understand and critically evaluate the potential countermeasures to advanced hacking techniques.</w:t>
      </w:r>
    </w:p>
    <w:p>
      <w:pPr>
        <w:pStyle w:val="ListParagraph"/>
        <w:numPr>
          <w:ilvl w:val="0"/>
          <w:numId w:val="2"/>
        </w:numPr>
        <w:spacing w:after="60"/>
        <w:jc w:val="both"/>
      </w:pPr>
      <w:r>
        <w:rPr>
          <w:rFonts w:ascii="Arial" w:cs="Arial" w:eastAsia="Arial" w:hAnsi="Arial"/>
          <w:sz w:val="22"/>
          <w:szCs w:val="22"/>
        </w:rPr>
        <w:t xml:space="preserve">To enable students to analyze and critically evaluate techniques used to break into an insecure web application and identify relevant countermeasures.</w:t>
      </w:r>
    </w:p>
    <w:p>
      <w:pPr>
        <w:pBdr>
          <w:bottom w:val="single" w:color="2E75B6" w:sz="6" w:space="2"/>
        </w:pBdr>
        <w:spacing w:after="120" w:before="260"/>
      </w:pPr>
      <w:r>
        <w:rPr>
          <w:rFonts w:ascii="Arial" w:cs="Arial" w:eastAsia="Arial" w:hAnsi="Arial"/>
          <w:b/>
          <w:bCs/>
          <w:color w:val="1F3864"/>
          <w:sz w:val="26"/>
          <w:szCs w:val="26"/>
        </w:rPr>
        <w:t xml:space="preserve">Course Outcomes</w:t>
      </w:r>
    </w:p>
    <w:p>
      <w:pPr>
        <w:spacing w:after="120"/>
        <w:jc w:val="both"/>
      </w:pPr>
      <w:r>
        <w:rPr>
          <w:rFonts w:ascii="Arial" w:cs="Arial" w:eastAsia="Arial" w:hAnsi="Arial"/>
          <w:sz w:val="22"/>
          <w:szCs w:val="22"/>
        </w:rPr>
        <w:t xml:space="preserve">On the completion of this course the student will be able to</w:t>
      </w:r>
    </w:p>
    <w:p>
      <w:pPr>
        <w:pStyle w:val="ListParagraph"/>
        <w:numPr>
          <w:ilvl w:val="0"/>
          <w:numId w:val="2"/>
        </w:numPr>
        <w:spacing w:after="60"/>
        <w:jc w:val="both"/>
      </w:pPr>
      <w:r>
        <w:rPr>
          <w:rFonts w:ascii="Arial" w:cs="Arial" w:eastAsia="Arial" w:hAnsi="Arial"/>
          <w:sz w:val="22"/>
          <w:szCs w:val="22"/>
        </w:rPr>
        <w:t xml:space="preserve">CO1: Explain aspects of security, importance of data gathering, foot printing and system hacking.</w:t>
      </w:r>
    </w:p>
    <w:p>
      <w:pPr>
        <w:pStyle w:val="ListParagraph"/>
        <w:numPr>
          <w:ilvl w:val="0"/>
          <w:numId w:val="2"/>
        </w:numPr>
        <w:spacing w:after="60"/>
        <w:jc w:val="both"/>
      </w:pPr>
      <w:r>
        <w:rPr>
          <w:rFonts w:ascii="Arial" w:cs="Arial" w:eastAsia="Arial" w:hAnsi="Arial"/>
          <w:sz w:val="22"/>
          <w:szCs w:val="22"/>
        </w:rPr>
        <w:t xml:space="preserve">CO2: Analyze and summarize tools and techniques to carry out a penetration testing.</w:t>
      </w:r>
    </w:p>
    <w:p>
      <w:pPr>
        <w:pStyle w:val="ListParagraph"/>
        <w:numPr>
          <w:ilvl w:val="0"/>
          <w:numId w:val="2"/>
        </w:numPr>
        <w:spacing w:after="60"/>
        <w:jc w:val="both"/>
      </w:pPr>
      <w:r>
        <w:rPr>
          <w:rFonts w:ascii="Arial" w:cs="Arial" w:eastAsia="Arial" w:hAnsi="Arial"/>
          <w:sz w:val="22"/>
          <w:szCs w:val="22"/>
        </w:rPr>
        <w:t xml:space="preserve">CO3: Develop and compare different types of hacking tools.</w:t>
      </w:r>
    </w:p>
    <w:p>
      <w:pPr>
        <w:pStyle w:val="ListParagraph"/>
        <w:numPr>
          <w:ilvl w:val="0"/>
          <w:numId w:val="2"/>
        </w:numPr>
        <w:spacing w:after="60"/>
        <w:jc w:val="both"/>
      </w:pPr>
      <w:r>
        <w:rPr>
          <w:rFonts w:ascii="Arial" w:cs="Arial" w:eastAsia="Arial" w:hAnsi="Arial"/>
          <w:sz w:val="22"/>
          <w:szCs w:val="22"/>
        </w:rPr>
        <w:t xml:space="preserve">CO4: Apply the techniques for real world problems in the domain.</w:t>
      </w:r>
    </w:p>
    <w:p>
      <w:pPr>
        <w:pStyle w:val="ListParagraph"/>
        <w:numPr>
          <w:ilvl w:val="0"/>
          <w:numId w:val="2"/>
        </w:numPr>
        <w:spacing w:after="60"/>
        <w:jc w:val="both"/>
      </w:pPr>
      <w:r>
        <w:rPr>
          <w:rFonts w:ascii="Arial" w:cs="Arial" w:eastAsia="Arial" w:hAnsi="Arial"/>
          <w:sz w:val="22"/>
          <w:szCs w:val="22"/>
        </w:rPr>
        <w:t xml:space="preserve">CO5: Explain the different attacks and vulnerabilities that can affect a system from functioning normally.</w:t>
      </w:r>
    </w:p>
    <w:p>
      <w:pPr>
        <w:pBdr>
          <w:bottom w:val="single" w:color="2E75B6" w:sz="6" w:space="2"/>
        </w:pBdr>
        <w:spacing w:after="120" w:before="260"/>
      </w:pPr>
      <w:r>
        <w:rPr>
          <w:rFonts w:ascii="Arial" w:cs="Arial" w:eastAsia="Arial" w:hAnsi="Arial"/>
          <w:b/>
          <w:bCs/>
          <w:color w:val="1F3864"/>
          <w:sz w:val="26"/>
          <w:szCs w:val="26"/>
        </w:rPr>
        <w:t xml:space="preserve">Course Description</w:t>
      </w:r>
    </w:p>
    <w:p>
      <w:pPr>
        <w:spacing w:after="120"/>
        <w:jc w:val="both"/>
      </w:pPr>
      <w:r>
        <w:rPr>
          <w:rFonts w:ascii="Arial" w:cs="Arial" w:eastAsia="Arial" w:hAnsi="Arial"/>
          <w:sz w:val="22"/>
          <w:szCs w:val="22"/>
        </w:rPr>
        <w:t xml:space="preserve">Ethical Hacking is an integral part of life. The aim of this course is to teach students how to think like a hacker, providing them with a deep understanding of security issues and concerns. In addition, this course also provides the students with specialist knowledge and experience of advanced hacking techniques and their countermeasures.</w:t>
      </w:r>
    </w:p>
    <w:p>
      <w:pPr>
        <w:pBdr>
          <w:bottom w:val="single" w:color="2E75B6" w:sz="6" w:space="2"/>
        </w:pBdr>
        <w:spacing w:after="120" w:before="260"/>
      </w:pPr>
      <w:r>
        <w:rPr>
          <w:rFonts w:ascii="Arial" w:cs="Arial" w:eastAsia="Arial" w:hAnsi="Arial"/>
          <w:b/>
          <w:bCs/>
          <w:color w:val="1F3864"/>
          <w:sz w:val="26"/>
          <w:szCs w:val="26"/>
        </w:rPr>
        <w:t xml:space="preserve">Course Content</w:t>
      </w:r>
    </w:p>
    <w:p>
      <w:pPr>
        <w:spacing w:after="40" w:before="120"/>
      </w:pPr>
      <w:r>
        <w:rPr>
          <w:rFonts w:ascii="Arial" w:cs="Arial" w:eastAsia="Arial" w:hAnsi="Arial"/>
          <w:b/>
          <w:bCs/>
          <w:color w:val="1F3864"/>
          <w:sz w:val="22"/>
          <w:szCs w:val="22"/>
        </w:rPr>
        <w:t xml:space="preserve">Unit-I</w:t>
      </w:r>
      <w:r>
        <w:rPr>
          <w:rFonts w:ascii="Arial" w:cs="Arial" w:eastAsia="Arial" w:hAnsi="Arial"/>
          <w:b/>
          <w:bCs/>
          <w:color w:val="2E75B6"/>
          <w:sz w:val="20"/>
          <w:szCs w:val="20"/>
        </w:rPr>
        <w:t xml:space="preserve">    [09 Lecture Hours]</w:t>
      </w:r>
    </w:p>
    <w:p>
      <w:pPr>
        <w:spacing w:after="120"/>
        <w:jc w:val="both"/>
      </w:pPr>
      <w:r>
        <w:rPr>
          <w:rFonts w:ascii="Arial" w:cs="Arial" w:eastAsia="Arial" w:hAnsi="Arial"/>
          <w:sz w:val="22"/>
          <w:szCs w:val="22"/>
        </w:rPr>
        <w:t xml:space="preserve">Casing the Establishment: What is foot printing, Internet Foot printing, Scanning, Enumeration, basic banner grabbing, Enumerating Common Network services. Case study: Network Security Monitoring. Introduction to Ethical Hacking: Ethical hacking process, Hackers' behaviour &amp; mindset, Maintaining Anonymity, Hacking Methodology, Information Gathering, Active and Passive Sniffing, Physical security vulnerabilities and countermeasures, Internal and External testing. Preparation of Ethical Hacking and Penetration Test Reports and Documents.</w:t>
      </w:r>
    </w:p>
    <w:p>
      <w:pPr>
        <w:spacing w:after="40" w:before="120"/>
      </w:pPr>
      <w:r>
        <w:rPr>
          <w:rFonts w:ascii="Arial" w:cs="Arial" w:eastAsia="Arial" w:hAnsi="Arial"/>
          <w:b/>
          <w:bCs/>
          <w:color w:val="1F3864"/>
          <w:sz w:val="22"/>
          <w:szCs w:val="22"/>
        </w:rPr>
        <w:t xml:space="preserve">Unit-II</w:t>
      </w:r>
      <w:r>
        <w:rPr>
          <w:rFonts w:ascii="Arial" w:cs="Arial" w:eastAsia="Arial" w:hAnsi="Arial"/>
          <w:b/>
          <w:bCs/>
          <w:color w:val="2E75B6"/>
          <w:sz w:val="20"/>
          <w:szCs w:val="20"/>
        </w:rPr>
        <w:t xml:space="preserve">    [09 Lecture Hours]</w:t>
      </w:r>
    </w:p>
    <w:p>
      <w:pPr>
        <w:spacing w:after="120"/>
        <w:jc w:val="both"/>
      </w:pPr>
      <w:r>
        <w:rPr>
          <w:rFonts w:ascii="Arial" w:cs="Arial" w:eastAsia="Arial" w:hAnsi="Arial"/>
          <w:sz w:val="22"/>
          <w:szCs w:val="22"/>
        </w:rPr>
        <w:t xml:space="preserve">Securing permission: Securing file and folder permission, Using the encrypting file system, Securing registry permissions. Securing service: Managing service permission, Default services in Windows 2000 and Windows XP. UNIX: The Quest for Root, Remote Access vs Local access, Remote access, Local access, After hacking root. Social Engineering attacks and countermeasures. Password attacks, Privilege Escalation and Executing Applications, Network Infrastructure Vulnerabilities, IP spoofing, DNS spoofing.</w:t>
      </w:r>
    </w:p>
    <w:p>
      <w:pPr>
        <w:spacing w:after="40" w:before="120"/>
      </w:pPr>
      <w:r>
        <w:rPr>
          <w:rFonts w:ascii="Arial" w:cs="Arial" w:eastAsia="Arial" w:hAnsi="Arial"/>
          <w:b/>
          <w:bCs/>
          <w:color w:val="1F3864"/>
          <w:sz w:val="22"/>
          <w:szCs w:val="22"/>
        </w:rPr>
        <w:t xml:space="preserve">Unit-III</w:t>
      </w:r>
      <w:r>
        <w:rPr>
          <w:rFonts w:ascii="Arial" w:cs="Arial" w:eastAsia="Arial" w:hAnsi="Arial"/>
          <w:b/>
          <w:bCs/>
          <w:color w:val="2E75B6"/>
          <w:sz w:val="20"/>
          <w:szCs w:val="20"/>
        </w:rPr>
        <w:t xml:space="preserve">    [09 Lecture Hours]</w:t>
      </w:r>
    </w:p>
    <w:p>
      <w:pPr>
        <w:spacing w:after="120"/>
        <w:jc w:val="both"/>
      </w:pPr>
      <w:r>
        <w:rPr>
          <w:rFonts w:ascii="Arial" w:cs="Arial" w:eastAsia="Arial" w:hAnsi="Arial"/>
          <w:sz w:val="22"/>
          <w:szCs w:val="22"/>
        </w:rPr>
        <w:t xml:space="preserve">Dial-up, PBX, Voicemail and VPN hacking, Preparing to dial up, War-Dialing, Brute-Force Scripting, PBX hacking, Voice mail hacking, VPN hacking, Network Devices: Discovery, Autonomous System Lookup, Public Newsgroups, Service Detection, Network Vulnerability, Detecting Layer 2 Media. Attacks and vulnerabilities: DoS attacks, Web server and application vulnerabilities, SQL injection attacks, Vulnerability Analysis and Reverse Engineering, Buffer overflow attacks, Client-side browser exploits, Exploiting Windows Access Control Model for Local Elevation Privilege, Exploiting vulnerabilities in Mobile Application.</w:t>
      </w:r>
    </w:p>
    <w:p>
      <w:pPr>
        <w:spacing w:after="40" w:before="120"/>
      </w:pPr>
      <w:r>
        <w:rPr>
          <w:rFonts w:ascii="Arial" w:cs="Arial" w:eastAsia="Arial" w:hAnsi="Arial"/>
          <w:b/>
          <w:bCs/>
          <w:color w:val="1F3864"/>
          <w:sz w:val="22"/>
          <w:szCs w:val="22"/>
        </w:rPr>
        <w:t xml:space="preserve">Unit-IV</w:t>
      </w:r>
      <w:r>
        <w:rPr>
          <w:rFonts w:ascii="Arial" w:cs="Arial" w:eastAsia="Arial" w:hAnsi="Arial"/>
          <w:b/>
          <w:bCs/>
          <w:color w:val="2E75B6"/>
          <w:sz w:val="20"/>
          <w:szCs w:val="20"/>
        </w:rPr>
        <w:t xml:space="preserve">    [09 Lecture Hours]</w:t>
      </w:r>
    </w:p>
    <w:p>
      <w:pPr>
        <w:spacing w:after="120"/>
        <w:jc w:val="both"/>
      </w:pPr>
      <w:r>
        <w:rPr>
          <w:rFonts w:ascii="Arial" w:cs="Arial" w:eastAsia="Arial" w:hAnsi="Arial"/>
          <w:sz w:val="22"/>
          <w:szCs w:val="22"/>
        </w:rPr>
        <w:t xml:space="preserve">Introduction to Metasploit: Metasploit framework, Metasploit Console, Payloads, Meterpreter, Introduction to Armitage. Wireless Hacking: Wireless Foot printing, Wireless Scanning and Enumeration, Gaining Access, Tools that exploit WEP Weakness, Denial of Service Attacks. Firewalls: Firewall landscape, Firewall Identification, Scanning Through firewalls, packet Filtering, Application Proxy Vulnerabilities, Denial of Service Attacks, Motivation of DoS Attackers, Types of DoS attacks, Generic DoS Attacks, UNIX and Windows DoS.</w:t>
      </w:r>
    </w:p>
    <w:p>
      <w:pPr>
        <w:spacing w:after="40" w:before="120"/>
      </w:pPr>
      <w:r>
        <w:rPr>
          <w:rFonts w:ascii="Arial" w:cs="Arial" w:eastAsia="Arial" w:hAnsi="Arial"/>
          <w:b/>
          <w:bCs/>
          <w:color w:val="1F3864"/>
          <w:sz w:val="22"/>
          <w:szCs w:val="22"/>
        </w:rPr>
        <w:t xml:space="preserve">Unit-V</w:t>
      </w:r>
      <w:r>
        <w:rPr>
          <w:rFonts w:ascii="Arial" w:cs="Arial" w:eastAsia="Arial" w:hAnsi="Arial"/>
          <w:b/>
          <w:bCs/>
          <w:color w:val="2E75B6"/>
          <w:sz w:val="20"/>
          <w:szCs w:val="20"/>
        </w:rPr>
        <w:t xml:space="preserve">    [09 Lecture Hours]</w:t>
      </w:r>
    </w:p>
    <w:p>
      <w:pPr>
        <w:spacing w:after="120"/>
        <w:jc w:val="both"/>
      </w:pPr>
      <w:r>
        <w:rPr>
          <w:rFonts w:ascii="Arial" w:cs="Arial" w:eastAsia="Arial" w:hAnsi="Arial"/>
          <w:sz w:val="22"/>
          <w:szCs w:val="22"/>
        </w:rPr>
        <w:t xml:space="preserve">Remote Control Insecurities, Discovering Remote Control Software, Connection, Weakness, NC, Microsoft Terminal Server and Citrix ICA, Advanced Techniques: Session Hijacking, Back Doors, Trojans, Cryptography, Subverting the systems Environment, Social Engineering, Web Hacking, Web server hacking, web application hacking, Hacking the internet Use, Malicious Mobile code, SSL fraud, E-mail Hacking, IRC hacking, Global countermeasures to Internet User Hacking. Kali Linux: Installing and using Kali Linux Distribution, Introduction to penetration testing tools in Kali Linux. Case Studies of recent vulnerabilities and attacks.</w:t>
      </w:r>
    </w:p>
    <w:p>
      <w:pPr>
        <w:pBdr>
          <w:bottom w:val="single" w:color="2E75B6" w:sz="6" w:space="2"/>
        </w:pBdr>
        <w:spacing w:after="120" w:before="260"/>
      </w:pPr>
      <w:r>
        <w:rPr>
          <w:rFonts w:ascii="Arial" w:cs="Arial" w:eastAsia="Arial" w:hAnsi="Arial"/>
          <w:b/>
          <w:bCs/>
          <w:color w:val="1F3864"/>
          <w:sz w:val="26"/>
          <w:szCs w:val="26"/>
        </w:rPr>
        <w:t xml:space="preserve">Text Books</w:t>
      </w:r>
    </w:p>
    <w:p>
      <w:pPr>
        <w:pStyle w:val="ListParagraph"/>
        <w:numPr>
          <w:ilvl w:val="0"/>
          <w:numId w:val="2"/>
        </w:numPr>
        <w:spacing w:after="60"/>
        <w:jc w:val="both"/>
      </w:pPr>
      <w:r>
        <w:rPr>
          <w:rFonts w:ascii="Arial" w:cs="Arial" w:eastAsia="Arial" w:hAnsi="Arial"/>
          <w:sz w:val="22"/>
          <w:szCs w:val="22"/>
        </w:rPr>
        <w:t xml:space="preserve">Baloch, R., Ethical Hacking and Penetration Testing Guide, CRC Press.</w:t>
      </w:r>
    </w:p>
    <w:p>
      <w:pPr>
        <w:pStyle w:val="ListParagraph"/>
        <w:numPr>
          <w:ilvl w:val="0"/>
          <w:numId w:val="2"/>
        </w:numPr>
        <w:spacing w:after="60"/>
        <w:jc w:val="both"/>
      </w:pPr>
      <w:r>
        <w:rPr>
          <w:rFonts w:ascii="Arial" w:cs="Arial" w:eastAsia="Arial" w:hAnsi="Arial"/>
          <w:sz w:val="22"/>
          <w:szCs w:val="22"/>
        </w:rPr>
        <w:t xml:space="preserve">Beaver, K., Hacking for Dummies, 3rd ed., John Wiley &amp; Sons.</w:t>
      </w:r>
    </w:p>
    <w:p>
      <w:pPr>
        <w:pBdr>
          <w:bottom w:val="single" w:color="2E75B6" w:sz="6" w:space="2"/>
        </w:pBdr>
        <w:spacing w:after="120" w:before="260"/>
      </w:pPr>
      <w:r>
        <w:rPr>
          <w:rFonts w:ascii="Arial" w:cs="Arial" w:eastAsia="Arial" w:hAnsi="Arial"/>
          <w:b/>
          <w:bCs/>
          <w:color w:val="1F3864"/>
          <w:sz w:val="26"/>
          <w:szCs w:val="26"/>
        </w:rPr>
        <w:t xml:space="preserve">Reference Books</w:t>
      </w:r>
    </w:p>
    <w:p>
      <w:pPr>
        <w:pStyle w:val="ListParagraph"/>
        <w:numPr>
          <w:ilvl w:val="0"/>
          <w:numId w:val="2"/>
        </w:numPr>
        <w:spacing w:after="60"/>
        <w:jc w:val="both"/>
      </w:pPr>
      <w:r>
        <w:rPr>
          <w:rFonts w:ascii="Arial" w:cs="Arial" w:eastAsia="Arial" w:hAnsi="Arial"/>
          <w:sz w:val="22"/>
          <w:szCs w:val="22"/>
        </w:rPr>
        <w:t xml:space="preserve">Davidoff, S. and Ham, J., Network Forensics: Tracking Hackers through Cyberspace, Prentice Hall.</w:t>
      </w:r>
    </w:p>
    <w:p>
      <w:pPr>
        <w:pStyle w:val="ListParagraph"/>
        <w:numPr>
          <w:ilvl w:val="0"/>
          <w:numId w:val="2"/>
        </w:numPr>
        <w:spacing w:after="60"/>
        <w:jc w:val="both"/>
      </w:pPr>
      <w:r>
        <w:rPr>
          <w:rFonts w:ascii="Arial" w:cs="Arial" w:eastAsia="Arial" w:hAnsi="Arial"/>
          <w:sz w:val="22"/>
          <w:szCs w:val="22"/>
        </w:rPr>
        <w:t xml:space="preserve">Michael G. Solomon, K. Rudolph, Ed Tittel, N. Broom, and D. Barrett, Computer Forensics Jump Start, Wiley Publishing, Inc.</w:t>
      </w:r>
    </w:p>
    <w:p>
      <w:pPr>
        <w:pBdr>
          <w:bottom w:val="single" w:color="2E75B6" w:sz="6" w:space="2"/>
        </w:pBdr>
        <w:spacing w:after="120" w:before="260"/>
      </w:pPr>
      <w:r>
        <w:rPr>
          <w:rFonts w:ascii="Arial" w:cs="Arial" w:eastAsia="Arial" w:hAnsi="Arial"/>
          <w:b/>
          <w:bCs/>
          <w:color w:val="1F3864"/>
          <w:sz w:val="26"/>
          <w:szCs w:val="26"/>
        </w:rPr>
        <w:t xml:space="preserve">Modes of Evaluation</w:t>
      </w:r>
    </w:p>
    <w:p>
      <w:pPr>
        <w:spacing w:after="120"/>
        <w:jc w:val="both"/>
      </w:pPr>
      <w:r>
        <w:rPr>
          <w:rFonts w:ascii="Arial" w:cs="Arial" w:eastAsia="Arial" w:hAnsi="Arial"/>
          <w:sz w:val="22"/>
          <w:szCs w:val="22"/>
        </w:rPr>
        <w:t xml:space="preserve">Quiz / Assignment / Presentation / Extempore / Written Examination</w:t>
      </w:r>
    </w:p>
    <w:p>
      <w:pPr>
        <w:pBdr>
          <w:bottom w:val="single" w:color="2E75B6" w:sz="6" w:space="2"/>
        </w:pBdr>
        <w:spacing w:after="120" w:before="260"/>
      </w:pPr>
      <w:r>
        <w:rPr>
          <w:rFonts w:ascii="Arial" w:cs="Arial" w:eastAsia="Arial" w:hAnsi="Arial"/>
          <w:b/>
          <w:bCs/>
          <w:color w:val="1F3864"/>
          <w:sz w:val="26"/>
          <w:szCs w:val="26"/>
        </w:rPr>
        <w:t xml:space="preserve">Examination Scheme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53"/>
        <w:gridCol w:w="2453"/>
        <w:gridCol w:w="2453"/>
      </w:tblGrid>
      <w:tr>
        <w:tc>
          <w:tcPr>
            <w:tcW w:type="dxa" w:w="20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Components</w:t>
            </w:r>
          </w:p>
        </w:tc>
        <w:tc>
          <w:tcPr>
            <w:tcW w:type="dxa" w:w="2453"/>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Mid Term</w:t>
            </w:r>
          </w:p>
        </w:tc>
        <w:tc>
          <w:tcPr>
            <w:tcW w:type="dxa" w:w="2453"/>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Class Assessment</w:t>
            </w:r>
          </w:p>
        </w:tc>
        <w:tc>
          <w:tcPr>
            <w:tcW w:type="dxa" w:w="2453"/>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End Term</w:t>
            </w:r>
          </w:p>
        </w:tc>
      </w:tr>
      <w:tr>
        <w:tc>
          <w:tcPr>
            <w:tcW w:type="dxa" w:w="20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Weightage (%)</w:t>
            </w:r>
          </w:p>
        </w:tc>
        <w:tc>
          <w:tcPr>
            <w:tcW w:type="dxa" w:w="2453"/>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20</w:t>
            </w:r>
          </w:p>
        </w:tc>
        <w:tc>
          <w:tcPr>
            <w:tcW w:type="dxa" w:w="2453"/>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30</w:t>
            </w:r>
          </w:p>
        </w:tc>
        <w:tc>
          <w:tcPr>
            <w:tcW w:type="dxa" w:w="2453"/>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50</w:t>
            </w:r>
          </w:p>
        </w:tc>
      </w:tr>
    </w:tbl>
    <w:p>
      <w:pPr>
        <w:pBdr>
          <w:bottom w:val="single" w:color="2E75B6" w:sz="6" w:space="2"/>
        </w:pBdr>
        <w:spacing w:after="120" w:before="260"/>
      </w:pPr>
      <w:r>
        <w:rPr>
          <w:rFonts w:ascii="Arial" w:cs="Arial" w:eastAsia="Arial" w:hAnsi="Arial"/>
          <w:b/>
          <w:bCs/>
          <w:color w:val="1F3864"/>
          <w:sz w:val="26"/>
          <w:szCs w:val="26"/>
        </w:rPr>
        <w:t xml:space="preserve">CO–PO / PSO Articulation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60"/>
        <w:gridCol w:w="540"/>
        <w:gridCol w:w="540"/>
        <w:gridCol w:w="540"/>
        <w:gridCol w:w="540"/>
        <w:gridCol w:w="540"/>
        <w:gridCol w:w="540"/>
        <w:gridCol w:w="540"/>
        <w:gridCol w:w="540"/>
        <w:gridCol w:w="540"/>
        <w:gridCol w:w="540"/>
        <w:gridCol w:w="540"/>
        <w:gridCol w:w="540"/>
        <w:gridCol w:w="540"/>
        <w:gridCol w:w="540"/>
        <w:gridCol w:w="540"/>
      </w:tblGrid>
      <w:tr>
        <w:trPr>
          <w:tblHeader/>
        </w:trPr>
        <w:tc>
          <w:tcPr>
            <w:tcW w:type="dxa" w:w="126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PO3</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PO4</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PO5</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PO6</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PO7</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PO8</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PO9</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PO10</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CO11189.1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CO11189.2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CO11189.3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CO11189.4</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CO11189.5</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r>
      <w:tr>
        <w:tc>
          <w:tcPr>
            <w:tcW w:type="dxa" w:w="126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Average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2.4</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2.6</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1.6</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2.0</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2.8</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2.0</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2.2</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2.4</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1.8</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1.8</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2.2</w:t>
            </w:r>
          </w:p>
        </w:tc>
        <w:tc>
          <w:tcPr>
            <w:tcW w:type="dxa" w:w="540"/>
            <w:tcBorders>
              <w:top w:val="single" w:color="999999" w:sz="2"/>
              <w:left w:val="single" w:color="999999" w:sz="2"/>
              <w:bottom w:val="single" w:color="999999" w:sz="2"/>
              <w:right w:val="single" w:color="999999" w:sz="2"/>
            </w:tcBorders>
            <w:shd w:fill="D9E2F3"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2.4</w:t>
            </w:r>
          </w:p>
        </w:tc>
      </w:tr>
    </w:tbl>
    <w:p>
      <w:pPr>
        <w:spacing w:before="100"/>
      </w:pPr>
      <w:r>
        <w:rPr>
          <w:rFonts w:ascii="Arial" w:cs="Arial" w:eastAsia="Arial" w:hAnsi="Arial"/>
          <w:i/>
          <w:iCs/>
          <w:sz w:val="18"/>
          <w:szCs w:val="18"/>
        </w:rPr>
        <w:t xml:space="preserve">1 = Weakly Mapped   |   2 = Moderately Mapped   |   3 = Strongly Mapped   |   – = Not Mapped</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2026-06-27T07:30:00.682Z</dcterms:created>
  <dcterms:modified xsi:type="dcterms:W3CDTF">2026-06-27T07:30:00.682Z</dcterms:modified>
</cp:coreProperties>
</file>

<file path=docProps/custom.xml><?xml version="1.0" encoding="utf-8"?>
<Properties xmlns="http://schemas.openxmlformats.org/officeDocument/2006/custom-properties" xmlns:vt="http://schemas.openxmlformats.org/officeDocument/2006/docPropsVTypes"/>
</file>