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60"/>
        <w:jc w:val="center"/>
      </w:pPr>
      <w:r>
        <w:rPr>
          <w:rFonts w:ascii="Arial" w:cs="Arial" w:eastAsia="Arial" w:hAnsi="Arial"/>
          <w:b/>
          <w:bCs/>
          <w:color w:val="FFFFFF"/>
          <w:sz w:val="30"/>
          <w:szCs w:val="30"/>
        </w:rPr>
        <w:t xml:space="preserve">SEMESTER V</w:t>
      </w:r>
    </w:p>
    <w:p>
      <w:pPr>
        <w:spacing w:after="60" w:before="100"/>
        <w:jc w:val="center"/>
      </w:pPr>
      <w:r>
        <w:rPr>
          <w:rFonts w:ascii="Arial" w:cs="Arial" w:eastAsia="Arial" w:hAnsi="Arial"/>
          <w:b/>
          <w:bCs/>
          <w:color w:val="1F3864"/>
          <w:sz w:val="30"/>
          <w:szCs w:val="30"/>
        </w:rPr>
        <w:t xml:space="preserve">CSE11186  –  Information Security Audit and Monitoring</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5160"/>
        <w:gridCol w:w="500"/>
        <w:gridCol w:w="500"/>
        <w:gridCol w:w="500"/>
        <w:gridCol w:w="500"/>
      </w:tblGrid>
      <w:tr>
        <w:tc>
          <w:tcPr>
            <w:tcW w:type="dxa" w:w="2200"/>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CSE11186</w:t>
            </w:r>
          </w:p>
        </w:tc>
        <w:tc>
          <w:tcPr>
            <w:tcW w:type="dxa" w:w="5160"/>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Information Security Audit and Monitoring</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L</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T</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P</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C</w:t>
            </w:r>
          </w:p>
        </w:tc>
      </w:tr>
      <w:tr>
        <w:tc>
          <w:tcPr>
            <w:tcW w:type="dxa" w:w="22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Version 1.0</w:t>
            </w:r>
          </w:p>
        </w:tc>
        <w:tc>
          <w:tcPr>
            <w:tcW w:type="dxa" w:w="516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Contact Hours – 45</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3</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1</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0</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4</w:t>
            </w:r>
          </w:p>
        </w:tc>
      </w:tr>
      <w:tr>
        <w:tc>
          <w:tcPr>
            <w:tcW w:type="dxa" w:w="22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Pre-requisite / Exposure</w:t>
            </w:r>
          </w:p>
        </w:tc>
        <w:tc>
          <w:tcPr>
            <w:tcW w:type="dxa" w:w="7160"/>
            <w:gridSpan w:val="5"/>
            <w:tcBorders>
              <w:top w:val="single" w:color="999999" w:sz="2"/>
              <w:left w:val="single" w:color="999999" w:sz="2"/>
              <w:bottom w:val="single" w:color="999999" w:sz="2"/>
              <w:right w:val="single" w:color="999999" w:sz="2"/>
            </w:tcBorders>
            <w:tcMar>
              <w:top w:type="dxa" w:w="60"/>
              <w:left w:type="dxa" w:w="100"/>
              <w:bottom w:type="dxa" w:w="60"/>
              <w:right w:type="dxa" w:w="100"/>
            </w:tcMar>
          </w:tcPr>
          <w:p>
            <w:r>
              <w:rPr>
                <w:rFonts w:ascii="Arial" w:cs="Arial" w:eastAsia="Arial" w:hAnsi="Arial"/>
                <w:sz w:val="22"/>
                <w:szCs w:val="22"/>
              </w:rPr>
              <w:t xml:space="preserve">NIL</w:t>
            </w:r>
          </w:p>
        </w:tc>
      </w:tr>
      <w:tr>
        <w:tc>
          <w:tcPr>
            <w:tcW w:type="dxa" w:w="22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Co-requisite</w:t>
            </w:r>
          </w:p>
        </w:tc>
        <w:tc>
          <w:tcPr>
            <w:tcW w:type="dxa" w:w="7160"/>
            <w:gridSpan w:val="5"/>
            <w:tcBorders>
              <w:top w:val="single" w:color="999999" w:sz="2"/>
              <w:left w:val="single" w:color="999999" w:sz="2"/>
              <w:bottom w:val="single" w:color="999999" w:sz="2"/>
              <w:right w:val="single" w:color="999999" w:sz="2"/>
            </w:tcBorders>
            <w:tcMar>
              <w:top w:type="dxa" w:w="60"/>
              <w:left w:type="dxa" w:w="100"/>
              <w:bottom w:type="dxa" w:w="60"/>
              <w:right w:type="dxa" w:w="100"/>
            </w:tcMar>
          </w:tcPr>
          <w:p>
            <w:r>
              <w:rPr>
                <w:rFonts w:ascii="Arial" w:cs="Arial" w:eastAsia="Arial" w:hAnsi="Arial"/>
                <w:sz w:val="22"/>
                <w:szCs w:val="22"/>
              </w:rPr>
              <w:t xml:space="preserve">NIL</w:t>
            </w:r>
          </w:p>
        </w:tc>
      </w:tr>
    </w:tbl>
    <w:p>
      <w:pPr>
        <w:pBdr>
          <w:bottom w:val="single" w:color="2E75B6" w:sz="6" w:space="2"/>
        </w:pBdr>
        <w:spacing w:after="120" w:before="260"/>
      </w:pPr>
      <w:r>
        <w:rPr>
          <w:rFonts w:ascii="Arial" w:cs="Arial" w:eastAsia="Arial" w:hAnsi="Arial"/>
          <w:b/>
          <w:bCs/>
          <w:color w:val="1F3864"/>
          <w:sz w:val="26"/>
          <w:szCs w:val="26"/>
        </w:rPr>
        <w:t xml:space="preserve">Course Objectives</w:t>
      </w:r>
    </w:p>
    <w:p>
      <w:pPr>
        <w:pStyle w:val="ListParagraph"/>
        <w:numPr>
          <w:ilvl w:val="0"/>
          <w:numId w:val="2"/>
        </w:numPr>
        <w:spacing w:after="60"/>
        <w:jc w:val="both"/>
      </w:pPr>
      <w:r>
        <w:rPr>
          <w:rFonts w:ascii="Arial" w:cs="Arial" w:eastAsia="Arial" w:hAnsi="Arial"/>
          <w:sz w:val="22"/>
          <w:szCs w:val="22"/>
        </w:rPr>
        <w:t xml:space="preserve">To provide an understanding of security auditing frameworks, standards, and policies.</w:t>
      </w:r>
    </w:p>
    <w:p>
      <w:pPr>
        <w:pStyle w:val="ListParagraph"/>
        <w:numPr>
          <w:ilvl w:val="0"/>
          <w:numId w:val="2"/>
        </w:numPr>
        <w:spacing w:after="60"/>
        <w:jc w:val="both"/>
      </w:pPr>
      <w:r>
        <w:rPr>
          <w:rFonts w:ascii="Arial" w:cs="Arial" w:eastAsia="Arial" w:hAnsi="Arial"/>
          <w:sz w:val="22"/>
          <w:szCs w:val="22"/>
        </w:rPr>
        <w:t xml:space="preserve">To equip students with skills for performing security audits and risk assessments.</w:t>
      </w:r>
    </w:p>
    <w:p>
      <w:pPr>
        <w:pStyle w:val="ListParagraph"/>
        <w:numPr>
          <w:ilvl w:val="0"/>
          <w:numId w:val="2"/>
        </w:numPr>
        <w:spacing w:after="60"/>
        <w:jc w:val="both"/>
      </w:pPr>
      <w:r>
        <w:rPr>
          <w:rFonts w:ascii="Arial" w:cs="Arial" w:eastAsia="Arial" w:hAnsi="Arial"/>
          <w:sz w:val="22"/>
          <w:szCs w:val="22"/>
        </w:rPr>
        <w:t xml:space="preserve">To familiarize students with monitoring tools and techniques for threat detection.</w:t>
      </w:r>
    </w:p>
    <w:p>
      <w:pPr>
        <w:pStyle w:val="ListParagraph"/>
        <w:numPr>
          <w:ilvl w:val="0"/>
          <w:numId w:val="2"/>
        </w:numPr>
        <w:spacing w:after="60"/>
        <w:jc w:val="both"/>
      </w:pPr>
      <w:r>
        <w:rPr>
          <w:rFonts w:ascii="Arial" w:cs="Arial" w:eastAsia="Arial" w:hAnsi="Arial"/>
          <w:sz w:val="22"/>
          <w:szCs w:val="22"/>
        </w:rPr>
        <w:t xml:space="preserve">To analyze compliance requirements for information security.</w:t>
      </w:r>
    </w:p>
    <w:p>
      <w:pPr>
        <w:pStyle w:val="ListParagraph"/>
        <w:numPr>
          <w:ilvl w:val="0"/>
          <w:numId w:val="2"/>
        </w:numPr>
        <w:spacing w:after="60"/>
        <w:jc w:val="both"/>
      </w:pPr>
      <w:r>
        <w:rPr>
          <w:rFonts w:ascii="Arial" w:cs="Arial" w:eastAsia="Arial" w:hAnsi="Arial"/>
          <w:sz w:val="22"/>
          <w:szCs w:val="22"/>
        </w:rPr>
        <w:t xml:space="preserve">To enable students to investigate security incidents and ensure organizational resilience.</w:t>
      </w:r>
    </w:p>
    <w:p>
      <w:pPr>
        <w:pBdr>
          <w:bottom w:val="single" w:color="2E75B6" w:sz="6" w:space="2"/>
        </w:pBdr>
        <w:spacing w:after="120" w:before="260"/>
      </w:pPr>
      <w:r>
        <w:rPr>
          <w:rFonts w:ascii="Arial" w:cs="Arial" w:eastAsia="Arial" w:hAnsi="Arial"/>
          <w:b/>
          <w:bCs/>
          <w:color w:val="1F3864"/>
          <w:sz w:val="26"/>
          <w:szCs w:val="26"/>
        </w:rPr>
        <w:t xml:space="preserve">Course Outcomes</w:t>
      </w:r>
    </w:p>
    <w:p>
      <w:pPr>
        <w:spacing w:after="120"/>
        <w:jc w:val="both"/>
      </w:pPr>
      <w:r>
        <w:rPr>
          <w:rFonts w:ascii="Arial" w:cs="Arial" w:eastAsia="Arial" w:hAnsi="Arial"/>
          <w:sz w:val="22"/>
          <w:szCs w:val="22"/>
        </w:rPr>
        <w:t xml:space="preserve">Upon completion of this course, students will be able to:</w:t>
      </w:r>
    </w:p>
    <w:p>
      <w:pPr>
        <w:pStyle w:val="ListParagraph"/>
        <w:numPr>
          <w:ilvl w:val="0"/>
          <w:numId w:val="2"/>
        </w:numPr>
        <w:spacing w:after="60"/>
        <w:jc w:val="both"/>
      </w:pPr>
      <w:r>
        <w:rPr>
          <w:rFonts w:ascii="Arial" w:cs="Arial" w:eastAsia="Arial" w:hAnsi="Arial"/>
          <w:sz w:val="22"/>
          <w:szCs w:val="22"/>
        </w:rPr>
        <w:t xml:space="preserve">CO1: Understand the principles and frameworks of information security auditing.</w:t>
      </w:r>
    </w:p>
    <w:p>
      <w:pPr>
        <w:pStyle w:val="ListParagraph"/>
        <w:numPr>
          <w:ilvl w:val="0"/>
          <w:numId w:val="2"/>
        </w:numPr>
        <w:spacing w:after="60"/>
        <w:jc w:val="both"/>
      </w:pPr>
      <w:r>
        <w:rPr>
          <w:rFonts w:ascii="Arial" w:cs="Arial" w:eastAsia="Arial" w:hAnsi="Arial"/>
          <w:sz w:val="22"/>
          <w:szCs w:val="22"/>
        </w:rPr>
        <w:t xml:space="preserve">CO2: Conduct security assessments and vulnerability analysis.</w:t>
      </w:r>
    </w:p>
    <w:p>
      <w:pPr>
        <w:pStyle w:val="ListParagraph"/>
        <w:numPr>
          <w:ilvl w:val="0"/>
          <w:numId w:val="2"/>
        </w:numPr>
        <w:spacing w:after="60"/>
        <w:jc w:val="both"/>
      </w:pPr>
      <w:r>
        <w:rPr>
          <w:rFonts w:ascii="Arial" w:cs="Arial" w:eastAsia="Arial" w:hAnsi="Arial"/>
          <w:sz w:val="22"/>
          <w:szCs w:val="22"/>
        </w:rPr>
        <w:t xml:space="preserve">CO3: Utilize security monitoring tools for real-time threat detection.</w:t>
      </w:r>
    </w:p>
    <w:p>
      <w:pPr>
        <w:pStyle w:val="ListParagraph"/>
        <w:numPr>
          <w:ilvl w:val="0"/>
          <w:numId w:val="2"/>
        </w:numPr>
        <w:spacing w:after="60"/>
        <w:jc w:val="both"/>
      </w:pPr>
      <w:r>
        <w:rPr>
          <w:rFonts w:ascii="Arial" w:cs="Arial" w:eastAsia="Arial" w:hAnsi="Arial"/>
          <w:sz w:val="22"/>
          <w:szCs w:val="22"/>
        </w:rPr>
        <w:t xml:space="preserve">CO4: Evaluate compliance with security policies and legal requirements.</w:t>
      </w:r>
    </w:p>
    <w:p>
      <w:pPr>
        <w:pStyle w:val="ListParagraph"/>
        <w:numPr>
          <w:ilvl w:val="0"/>
          <w:numId w:val="2"/>
        </w:numPr>
        <w:spacing w:after="60"/>
        <w:jc w:val="both"/>
      </w:pPr>
      <w:r>
        <w:rPr>
          <w:rFonts w:ascii="Arial" w:cs="Arial" w:eastAsia="Arial" w:hAnsi="Arial"/>
          <w:sz w:val="22"/>
          <w:szCs w:val="22"/>
        </w:rPr>
        <w:t xml:space="preserve">CO5: Investigate security incidents and recommend mitigation strategies.</w:t>
      </w:r>
    </w:p>
    <w:p>
      <w:pPr>
        <w:pBdr>
          <w:bottom w:val="single" w:color="2E75B6" w:sz="6" w:space="2"/>
        </w:pBdr>
        <w:spacing w:after="120" w:before="260"/>
      </w:pPr>
      <w:r>
        <w:rPr>
          <w:rFonts w:ascii="Arial" w:cs="Arial" w:eastAsia="Arial" w:hAnsi="Arial"/>
          <w:b/>
          <w:bCs/>
          <w:color w:val="1F3864"/>
          <w:sz w:val="26"/>
          <w:szCs w:val="26"/>
        </w:rPr>
        <w:t xml:space="preserve">Catalog Description</w:t>
      </w:r>
    </w:p>
    <w:p>
      <w:pPr>
        <w:spacing w:after="120"/>
        <w:jc w:val="both"/>
      </w:pPr>
      <w:r>
        <w:rPr>
          <w:rFonts w:ascii="Arial" w:cs="Arial" w:eastAsia="Arial" w:hAnsi="Arial"/>
          <w:sz w:val="22"/>
          <w:szCs w:val="22"/>
        </w:rPr>
        <w:t xml:space="preserve">This course covers the principles and practices of information security auditing and monitoring. Students will learn about security frameworks, compliance regulations, audit methodologies, and monitoring techniques used in detecting cybersecurity threats. The course also explores vulnerability assessment, incident response, and best practices for maintaining a secure IT infrastructure.</w:t>
      </w:r>
    </w:p>
    <w:p>
      <w:pPr>
        <w:pBdr>
          <w:bottom w:val="single" w:color="2E75B6" w:sz="6" w:space="2"/>
        </w:pBdr>
        <w:spacing w:after="120" w:before="260"/>
      </w:pPr>
      <w:r>
        <w:rPr>
          <w:rFonts w:ascii="Arial" w:cs="Arial" w:eastAsia="Arial" w:hAnsi="Arial"/>
          <w:b/>
          <w:bCs/>
          <w:color w:val="1F3864"/>
          <w:sz w:val="26"/>
          <w:szCs w:val="26"/>
        </w:rPr>
        <w:t xml:space="preserve">Course Content</w:t>
      </w:r>
    </w:p>
    <w:p>
      <w:pPr>
        <w:spacing w:after="40" w:before="120"/>
      </w:pPr>
      <w:r>
        <w:rPr>
          <w:rFonts w:ascii="Arial" w:cs="Arial" w:eastAsia="Arial" w:hAnsi="Arial"/>
          <w:b/>
          <w:bCs/>
          <w:color w:val="1F3864"/>
          <w:sz w:val="22"/>
          <w:szCs w:val="22"/>
        </w:rPr>
        <w:t xml:space="preserve">Unit 1: Introduction to Information Security Auditing</w:t>
      </w:r>
      <w:r>
        <w:rPr>
          <w:rFonts w:ascii="Arial" w:cs="Arial" w:eastAsia="Arial" w:hAnsi="Arial"/>
          <w:b/>
          <w:bCs/>
          <w:color w:val="2E75B6"/>
          <w:sz w:val="20"/>
          <w:szCs w:val="20"/>
        </w:rPr>
        <w:t xml:space="preserve">    [9 Hours]</w:t>
      </w:r>
    </w:p>
    <w:p>
      <w:pPr>
        <w:spacing w:after="120"/>
        <w:jc w:val="both"/>
      </w:pPr>
      <w:r>
        <w:rPr>
          <w:rFonts w:ascii="Arial" w:cs="Arial" w:eastAsia="Arial" w:hAnsi="Arial"/>
          <w:sz w:val="22"/>
          <w:szCs w:val="22"/>
        </w:rPr>
        <w:t xml:space="preserve">Overview of security auditing and governance. Security standards and frameworks (ISO 27001, NIST, COBIT). Importance of security policies and risk management.</w:t>
      </w:r>
    </w:p>
    <w:p>
      <w:pPr>
        <w:spacing w:after="40" w:before="120"/>
      </w:pPr>
      <w:r>
        <w:rPr>
          <w:rFonts w:ascii="Arial" w:cs="Arial" w:eastAsia="Arial" w:hAnsi="Arial"/>
          <w:b/>
          <w:bCs/>
          <w:color w:val="1F3864"/>
          <w:sz w:val="22"/>
          <w:szCs w:val="22"/>
        </w:rPr>
        <w:t xml:space="preserve">Unit 2: Security Assessment and Vulnerability Management</w:t>
      </w:r>
      <w:r>
        <w:rPr>
          <w:rFonts w:ascii="Arial" w:cs="Arial" w:eastAsia="Arial" w:hAnsi="Arial"/>
          <w:b/>
          <w:bCs/>
          <w:color w:val="2E75B6"/>
          <w:sz w:val="20"/>
          <w:szCs w:val="20"/>
        </w:rPr>
        <w:t xml:space="preserve">    [9 Hours]</w:t>
      </w:r>
    </w:p>
    <w:p>
      <w:pPr>
        <w:spacing w:after="120"/>
        <w:jc w:val="both"/>
      </w:pPr>
      <w:r>
        <w:rPr>
          <w:rFonts w:ascii="Arial" w:cs="Arial" w:eastAsia="Arial" w:hAnsi="Arial"/>
          <w:sz w:val="22"/>
          <w:szCs w:val="22"/>
        </w:rPr>
        <w:t xml:space="preserve">Risk assessment methodologies. Identifying vulnerabilities using scanning tools (Nmap, Nessus). Penetration testing and ethical hacking basics.</w:t>
      </w:r>
    </w:p>
    <w:p>
      <w:pPr>
        <w:spacing w:after="40" w:before="120"/>
      </w:pPr>
      <w:r>
        <w:rPr>
          <w:rFonts w:ascii="Arial" w:cs="Arial" w:eastAsia="Arial" w:hAnsi="Arial"/>
          <w:b/>
          <w:bCs/>
          <w:color w:val="1F3864"/>
          <w:sz w:val="22"/>
          <w:szCs w:val="22"/>
        </w:rPr>
        <w:t xml:space="preserve">Unit 3: Security Monitoring and Incident Detection</w:t>
      </w:r>
      <w:r>
        <w:rPr>
          <w:rFonts w:ascii="Arial" w:cs="Arial" w:eastAsia="Arial" w:hAnsi="Arial"/>
          <w:b/>
          <w:bCs/>
          <w:color w:val="2E75B6"/>
          <w:sz w:val="20"/>
          <w:szCs w:val="20"/>
        </w:rPr>
        <w:t xml:space="preserve">    [9 Hours]</w:t>
      </w:r>
    </w:p>
    <w:p>
      <w:pPr>
        <w:spacing w:after="120"/>
        <w:jc w:val="both"/>
      </w:pPr>
      <w:r>
        <w:rPr>
          <w:rFonts w:ascii="Arial" w:cs="Arial" w:eastAsia="Arial" w:hAnsi="Arial"/>
          <w:sz w:val="22"/>
          <w:szCs w:val="22"/>
        </w:rPr>
        <w:t xml:space="preserve">Security Information and Event Management (SIEM). Network traffic monitoring and anomaly detection. Log analysis and forensic investigation.</w:t>
      </w:r>
    </w:p>
    <w:p>
      <w:pPr>
        <w:spacing w:after="40" w:before="120"/>
      </w:pPr>
      <w:r>
        <w:rPr>
          <w:rFonts w:ascii="Arial" w:cs="Arial" w:eastAsia="Arial" w:hAnsi="Arial"/>
          <w:b/>
          <w:bCs/>
          <w:color w:val="1F3864"/>
          <w:sz w:val="22"/>
          <w:szCs w:val="22"/>
        </w:rPr>
        <w:t xml:space="preserve">Unit 4: Compliance and Legal Aspects</w:t>
      </w:r>
      <w:r>
        <w:rPr>
          <w:rFonts w:ascii="Arial" w:cs="Arial" w:eastAsia="Arial" w:hAnsi="Arial"/>
          <w:b/>
          <w:bCs/>
          <w:color w:val="2E75B6"/>
          <w:sz w:val="20"/>
          <w:szCs w:val="20"/>
        </w:rPr>
        <w:t xml:space="preserve">    [9 Hours]</w:t>
      </w:r>
    </w:p>
    <w:p>
      <w:pPr>
        <w:spacing w:after="120"/>
        <w:jc w:val="both"/>
      </w:pPr>
      <w:r>
        <w:rPr>
          <w:rFonts w:ascii="Arial" w:cs="Arial" w:eastAsia="Arial" w:hAnsi="Arial"/>
          <w:sz w:val="22"/>
          <w:szCs w:val="22"/>
        </w:rPr>
        <w:t xml:space="preserve">Data protection regulations (GDPR, HIPAA, PCI-DSS). Security governance, risk, and compliance (GRC). Industry best practices for audit compliance.</w:t>
      </w:r>
    </w:p>
    <w:p>
      <w:pPr>
        <w:spacing w:after="40" w:before="120"/>
      </w:pPr>
      <w:r>
        <w:rPr>
          <w:rFonts w:ascii="Arial" w:cs="Arial" w:eastAsia="Arial" w:hAnsi="Arial"/>
          <w:b/>
          <w:bCs/>
          <w:color w:val="1F3864"/>
          <w:sz w:val="22"/>
          <w:szCs w:val="22"/>
        </w:rPr>
        <w:t xml:space="preserve">Unit 5: Incident Response and Mitigation Strategies</w:t>
      </w:r>
      <w:r>
        <w:rPr>
          <w:rFonts w:ascii="Arial" w:cs="Arial" w:eastAsia="Arial" w:hAnsi="Arial"/>
          <w:b/>
          <w:bCs/>
          <w:color w:val="2E75B6"/>
          <w:sz w:val="20"/>
          <w:szCs w:val="20"/>
        </w:rPr>
        <w:t xml:space="preserve">    [9 Hours]</w:t>
      </w:r>
    </w:p>
    <w:p>
      <w:pPr>
        <w:spacing w:after="120"/>
        <w:jc w:val="both"/>
      </w:pPr>
      <w:r>
        <w:rPr>
          <w:rFonts w:ascii="Arial" w:cs="Arial" w:eastAsia="Arial" w:hAnsi="Arial"/>
          <w:sz w:val="22"/>
          <w:szCs w:val="22"/>
        </w:rPr>
        <w:t xml:space="preserve">Incident handling and response planning. Digital forensics and evidence collection. Business continuity and disaster recovery planning.</w:t>
      </w:r>
    </w:p>
    <w:p>
      <w:pPr>
        <w:pBdr>
          <w:bottom w:val="single" w:color="2E75B6" w:sz="6" w:space="2"/>
        </w:pBdr>
        <w:spacing w:after="120" w:before="260"/>
      </w:pPr>
      <w:r>
        <w:rPr>
          <w:rFonts w:ascii="Arial" w:cs="Arial" w:eastAsia="Arial" w:hAnsi="Arial"/>
          <w:b/>
          <w:bCs/>
          <w:color w:val="1F3864"/>
          <w:sz w:val="26"/>
          <w:szCs w:val="26"/>
        </w:rPr>
        <w:t xml:space="preserve">Modes of Evaluation</w:t>
      </w:r>
    </w:p>
    <w:p>
      <w:pPr>
        <w:spacing w:after="120"/>
        <w:jc w:val="both"/>
      </w:pPr>
      <w:r>
        <w:rPr>
          <w:rFonts w:ascii="Arial" w:cs="Arial" w:eastAsia="Arial" w:hAnsi="Arial"/>
          <w:sz w:val="22"/>
          <w:szCs w:val="22"/>
        </w:rPr>
        <w:t xml:space="preserve">Quiz, Assignments, Security Audit Project, Lab Exercises, Viva</w:t>
      </w:r>
    </w:p>
    <w:p>
      <w:pPr>
        <w:pBdr>
          <w:bottom w:val="single" w:color="2E75B6" w:sz="6" w:space="2"/>
        </w:pBdr>
        <w:spacing w:after="120" w:before="260"/>
      </w:pPr>
      <w:r>
        <w:rPr>
          <w:rFonts w:ascii="Arial" w:cs="Arial" w:eastAsia="Arial" w:hAnsi="Arial"/>
          <w:b/>
          <w:bCs/>
          <w:color w:val="1F3864"/>
          <w:sz w:val="26"/>
          <w:szCs w:val="26"/>
        </w:rPr>
        <w:t xml:space="preserve">Examination Scheme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680"/>
        <w:gridCol w:w="3680"/>
      </w:tblGrid>
      <w:tr>
        <w:tc>
          <w:tcPr>
            <w:tcW w:type="dxa" w:w="20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Components</w:t>
            </w:r>
          </w:p>
        </w:tc>
        <w:tc>
          <w:tcPr>
            <w:tcW w:type="dxa" w:w="3680"/>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Continuous Assessment</w:t>
            </w:r>
          </w:p>
        </w:tc>
        <w:tc>
          <w:tcPr>
            <w:tcW w:type="dxa" w:w="3680"/>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ETE (End-Term Exam)</w:t>
            </w:r>
          </w:p>
        </w:tc>
      </w:tr>
      <w:tr>
        <w:tc>
          <w:tcPr>
            <w:tcW w:type="dxa" w:w="20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Weightage (%)</w:t>
            </w:r>
          </w:p>
        </w:tc>
        <w:tc>
          <w:tcPr>
            <w:tcW w:type="dxa" w:w="368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50</w:t>
            </w:r>
          </w:p>
        </w:tc>
        <w:tc>
          <w:tcPr>
            <w:tcW w:type="dxa" w:w="368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50</w:t>
            </w:r>
          </w:p>
        </w:tc>
      </w:tr>
    </w:tbl>
    <w:p>
      <w:pPr>
        <w:pBdr>
          <w:bottom w:val="single" w:color="2E75B6" w:sz="6" w:space="2"/>
        </w:pBdr>
        <w:spacing w:after="120" w:before="260"/>
      </w:pPr>
      <w:r>
        <w:rPr>
          <w:rFonts w:ascii="Arial" w:cs="Arial" w:eastAsia="Arial" w:hAnsi="Arial"/>
          <w:b/>
          <w:bCs/>
          <w:color w:val="1F3864"/>
          <w:sz w:val="26"/>
          <w:szCs w:val="26"/>
        </w:rPr>
        <w:t xml:space="preserve">CO–PO / PSO Articulation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60"/>
        <w:gridCol w:w="540"/>
        <w:gridCol w:w="540"/>
        <w:gridCol w:w="540"/>
        <w:gridCol w:w="540"/>
        <w:gridCol w:w="540"/>
        <w:gridCol w:w="540"/>
        <w:gridCol w:w="540"/>
        <w:gridCol w:w="540"/>
        <w:gridCol w:w="540"/>
        <w:gridCol w:w="540"/>
        <w:gridCol w:w="540"/>
        <w:gridCol w:w="540"/>
        <w:gridCol w:w="540"/>
        <w:gridCol w:w="540"/>
        <w:gridCol w:w="540"/>
      </w:tblGrid>
      <w:tr>
        <w:trPr>
          <w:tblHeader/>
        </w:trPr>
        <w:tc>
          <w:tcPr>
            <w:tcW w:type="dxa" w:w="126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PO3</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PO4</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PO5</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PO6</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PO7</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PO8</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PO9</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PO10</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PSO3</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CO4</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CO5</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r>
    </w:tbl>
    <w:p>
      <w:pPr>
        <w:spacing w:before="100"/>
      </w:pPr>
      <w:r>
        <w:rPr>
          <w:rFonts w:ascii="Arial" w:cs="Arial" w:eastAsia="Arial" w:hAnsi="Arial"/>
          <w:i/>
          <w:iCs/>
          <w:sz w:val="18"/>
          <w:szCs w:val="18"/>
        </w:rPr>
        <w:t xml:space="preserve">1 = Weakly Mapped   |   2 = Moderately Mapped   |   3 = Strongly Mapped   |   – = Not Mapped</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2026-06-27T07:30:00.462Z</dcterms:created>
  <dcterms:modified xsi:type="dcterms:W3CDTF">2026-06-27T07:30:00.462Z</dcterms:modified>
</cp:coreProperties>
</file>

<file path=docProps/custom.xml><?xml version="1.0" encoding="utf-8"?>
<Properties xmlns="http://schemas.openxmlformats.org/officeDocument/2006/custom-properties" xmlns:vt="http://schemas.openxmlformats.org/officeDocument/2006/docPropsVTypes"/>
</file>