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1F3864" w:val="clear"/>
        <w:spacing w:after="60"/>
        <w:jc w:val="center"/>
      </w:pPr>
      <w:r>
        <w:rPr>
          <w:rFonts w:ascii="Arial" w:cs="Arial" w:eastAsia="Arial" w:hAnsi="Arial"/>
          <w:b/>
          <w:bCs/>
          <w:color w:val="FFFFFF"/>
          <w:sz w:val="30"/>
          <w:szCs w:val="30"/>
        </w:rPr>
        <w:t xml:space="preserve">SEMESTER IV</w:t>
      </w:r>
    </w:p>
    <w:p>
      <w:pPr>
        <w:spacing w:after="60" w:before="100"/>
        <w:jc w:val="center"/>
      </w:pPr>
      <w:r>
        <w:rPr>
          <w:rFonts w:ascii="Arial" w:cs="Arial" w:eastAsia="Arial" w:hAnsi="Arial"/>
          <w:b/>
          <w:bCs/>
          <w:color w:val="1F3864"/>
          <w:sz w:val="30"/>
          <w:szCs w:val="30"/>
        </w:rPr>
        <w:t xml:space="preserve">CSE11184  –  Cryptography</w:t>
      </w:r>
    </w:p>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5160"/>
        <w:gridCol w:w="500"/>
        <w:gridCol w:w="500"/>
        <w:gridCol w:w="500"/>
        <w:gridCol w:w="500"/>
      </w:tblGrid>
      <w:tr>
        <w:tc>
          <w:tcPr>
            <w:tcW w:type="dxa" w:w="2200"/>
            <w:tcBorders>
              <w:top w:val="single" w:color="999999" w:sz="2"/>
              <w:left w:val="single" w:color="999999" w:sz="2"/>
              <w:bottom w:val="single" w:color="999999" w:sz="2"/>
              <w:right w:val="single" w:color="999999" w:sz="2"/>
            </w:tcBorders>
            <w:shd w:fill="D9E2F3" w:val="clear"/>
            <w:tcMar>
              <w:top w:type="dxa" w:w="60"/>
              <w:left w:type="dxa" w:w="100"/>
              <w:bottom w:type="dxa" w:w="60"/>
              <w:right w:type="dxa" w:w="100"/>
            </w:tcMar>
            <w:vAlign w:val="center"/>
          </w:tcPr>
          <w:p>
            <w:r>
              <w:rPr>
                <w:rFonts w:ascii="Arial" w:cs="Arial" w:eastAsia="Arial" w:hAnsi="Arial"/>
                <w:b/>
                <w:bCs/>
                <w:sz w:val="22"/>
                <w:szCs w:val="22"/>
              </w:rPr>
              <w:t xml:space="preserve">CSE11184</w:t>
            </w:r>
          </w:p>
        </w:tc>
        <w:tc>
          <w:tcPr>
            <w:tcW w:type="dxa" w:w="5160"/>
            <w:tcBorders>
              <w:top w:val="single" w:color="999999" w:sz="2"/>
              <w:left w:val="single" w:color="999999" w:sz="2"/>
              <w:bottom w:val="single" w:color="999999" w:sz="2"/>
              <w:right w:val="single" w:color="999999" w:sz="2"/>
            </w:tcBorders>
            <w:shd w:fill="D9E2F3" w:val="clear"/>
            <w:tcMar>
              <w:top w:type="dxa" w:w="60"/>
              <w:left w:type="dxa" w:w="100"/>
              <w:bottom w:type="dxa" w:w="60"/>
              <w:right w:type="dxa" w:w="100"/>
            </w:tcMar>
            <w:vAlign w:val="center"/>
          </w:tcPr>
          <w:p>
            <w:r>
              <w:rPr>
                <w:rFonts w:ascii="Arial" w:cs="Arial" w:eastAsia="Arial" w:hAnsi="Arial"/>
                <w:b/>
                <w:bCs/>
                <w:sz w:val="22"/>
                <w:szCs w:val="22"/>
              </w:rPr>
              <w:t xml:space="preserve">Cryptography</w:t>
            </w:r>
          </w:p>
        </w:tc>
        <w:tc>
          <w:tcPr>
            <w:tcW w:type="dxa" w:w="500"/>
            <w:tcBorders>
              <w:top w:val="single" w:color="999999" w:sz="2"/>
              <w:left w:val="single" w:color="999999" w:sz="2"/>
              <w:bottom w:val="single" w:color="999999" w:sz="2"/>
              <w:right w:val="single" w:color="999999" w:sz="2"/>
            </w:tcBorders>
            <w:shd w:fill="2E75B6" w:val="clear"/>
            <w:tcMar>
              <w:top w:type="dxa" w:w="60"/>
              <w:left w:type="dxa" w:w="100"/>
              <w:bottom w:type="dxa" w:w="60"/>
              <w:right w:type="dxa" w:w="100"/>
            </w:tcMar>
            <w:vAlign w:val="center"/>
          </w:tcPr>
          <w:p>
            <w:r>
              <w:rPr>
                <w:rFonts w:ascii="Arial" w:cs="Arial" w:eastAsia="Arial" w:hAnsi="Arial"/>
                <w:b/>
                <w:bCs/>
                <w:sz w:val="22"/>
                <w:szCs w:val="22"/>
              </w:rPr>
              <w:t xml:space="preserve">L</w:t>
            </w:r>
          </w:p>
        </w:tc>
        <w:tc>
          <w:tcPr>
            <w:tcW w:type="dxa" w:w="500"/>
            <w:tcBorders>
              <w:top w:val="single" w:color="999999" w:sz="2"/>
              <w:left w:val="single" w:color="999999" w:sz="2"/>
              <w:bottom w:val="single" w:color="999999" w:sz="2"/>
              <w:right w:val="single" w:color="999999" w:sz="2"/>
            </w:tcBorders>
            <w:shd w:fill="2E75B6" w:val="clear"/>
            <w:tcMar>
              <w:top w:type="dxa" w:w="60"/>
              <w:left w:type="dxa" w:w="100"/>
              <w:bottom w:type="dxa" w:w="60"/>
              <w:right w:type="dxa" w:w="100"/>
            </w:tcMar>
            <w:vAlign w:val="center"/>
          </w:tcPr>
          <w:p>
            <w:r>
              <w:rPr>
                <w:rFonts w:ascii="Arial" w:cs="Arial" w:eastAsia="Arial" w:hAnsi="Arial"/>
                <w:b/>
                <w:bCs/>
                <w:sz w:val="22"/>
                <w:szCs w:val="22"/>
              </w:rPr>
              <w:t xml:space="preserve">T</w:t>
            </w:r>
          </w:p>
        </w:tc>
        <w:tc>
          <w:tcPr>
            <w:tcW w:type="dxa" w:w="500"/>
            <w:tcBorders>
              <w:top w:val="single" w:color="999999" w:sz="2"/>
              <w:left w:val="single" w:color="999999" w:sz="2"/>
              <w:bottom w:val="single" w:color="999999" w:sz="2"/>
              <w:right w:val="single" w:color="999999" w:sz="2"/>
            </w:tcBorders>
            <w:shd w:fill="2E75B6" w:val="clear"/>
            <w:tcMar>
              <w:top w:type="dxa" w:w="60"/>
              <w:left w:type="dxa" w:w="100"/>
              <w:bottom w:type="dxa" w:w="60"/>
              <w:right w:type="dxa" w:w="100"/>
            </w:tcMar>
            <w:vAlign w:val="center"/>
          </w:tcPr>
          <w:p>
            <w:r>
              <w:rPr>
                <w:rFonts w:ascii="Arial" w:cs="Arial" w:eastAsia="Arial" w:hAnsi="Arial"/>
                <w:b/>
                <w:bCs/>
                <w:sz w:val="22"/>
                <w:szCs w:val="22"/>
              </w:rPr>
              <w:t xml:space="preserve">P</w:t>
            </w:r>
          </w:p>
        </w:tc>
        <w:tc>
          <w:tcPr>
            <w:tcW w:type="dxa" w:w="500"/>
            <w:tcBorders>
              <w:top w:val="single" w:color="999999" w:sz="2"/>
              <w:left w:val="single" w:color="999999" w:sz="2"/>
              <w:bottom w:val="single" w:color="999999" w:sz="2"/>
              <w:right w:val="single" w:color="999999" w:sz="2"/>
            </w:tcBorders>
            <w:shd w:fill="2E75B6" w:val="clear"/>
            <w:tcMar>
              <w:top w:type="dxa" w:w="60"/>
              <w:left w:type="dxa" w:w="100"/>
              <w:bottom w:type="dxa" w:w="60"/>
              <w:right w:type="dxa" w:w="100"/>
            </w:tcMar>
            <w:vAlign w:val="center"/>
          </w:tcPr>
          <w:p>
            <w:r>
              <w:rPr>
                <w:rFonts w:ascii="Arial" w:cs="Arial" w:eastAsia="Arial" w:hAnsi="Arial"/>
                <w:b/>
                <w:bCs/>
                <w:sz w:val="22"/>
                <w:szCs w:val="22"/>
              </w:rPr>
              <w:t xml:space="preserve">C</w:t>
            </w:r>
          </w:p>
        </w:tc>
      </w:tr>
      <w:tr>
        <w:tc>
          <w:tcPr>
            <w:tcW w:type="dxa" w:w="2200"/>
            <w:tcBorders>
              <w:top w:val="single" w:color="999999" w:sz="2"/>
              <w:left w:val="single" w:color="999999" w:sz="2"/>
              <w:bottom w:val="single" w:color="999999" w:sz="2"/>
              <w:right w:val="single" w:color="999999" w:sz="2"/>
            </w:tcBorders>
            <w:tcMar>
              <w:top w:type="dxa" w:w="60"/>
              <w:left w:type="dxa" w:w="100"/>
              <w:bottom w:type="dxa" w:w="60"/>
              <w:right w:type="dxa" w:w="100"/>
            </w:tcMar>
            <w:vAlign w:val="center"/>
          </w:tcPr>
          <w:p>
            <w:r>
              <w:rPr>
                <w:rFonts w:ascii="Arial" w:cs="Arial" w:eastAsia="Arial" w:hAnsi="Arial"/>
                <w:b w:val="false"/>
                <w:bCs w:val="false"/>
                <w:sz w:val="22"/>
                <w:szCs w:val="22"/>
              </w:rPr>
              <w:t xml:space="preserve">Version 1.0</w:t>
            </w:r>
          </w:p>
        </w:tc>
        <w:tc>
          <w:tcPr>
            <w:tcW w:type="dxa" w:w="5160"/>
            <w:tcBorders>
              <w:top w:val="single" w:color="999999" w:sz="2"/>
              <w:left w:val="single" w:color="999999" w:sz="2"/>
              <w:bottom w:val="single" w:color="999999" w:sz="2"/>
              <w:right w:val="single" w:color="999999" w:sz="2"/>
            </w:tcBorders>
            <w:tcMar>
              <w:top w:type="dxa" w:w="60"/>
              <w:left w:type="dxa" w:w="100"/>
              <w:bottom w:type="dxa" w:w="60"/>
              <w:right w:type="dxa" w:w="100"/>
            </w:tcMar>
            <w:vAlign w:val="center"/>
          </w:tcPr>
          <w:p>
            <w:r>
              <w:rPr>
                <w:rFonts w:ascii="Arial" w:cs="Arial" w:eastAsia="Arial" w:hAnsi="Arial"/>
                <w:b w:val="false"/>
                <w:bCs w:val="false"/>
                <w:sz w:val="22"/>
                <w:szCs w:val="22"/>
              </w:rPr>
              <w:t xml:space="preserve">Contact Hours – 45 Hours</w:t>
            </w:r>
          </w:p>
        </w:tc>
        <w:tc>
          <w:tcPr>
            <w:tcW w:type="dxa" w:w="500"/>
            <w:tcBorders>
              <w:top w:val="single" w:color="999999" w:sz="2"/>
              <w:left w:val="single" w:color="999999" w:sz="2"/>
              <w:bottom w:val="single" w:color="999999" w:sz="2"/>
              <w:right w:val="single" w:color="999999" w:sz="2"/>
            </w:tcBorders>
            <w:tcMar>
              <w:top w:type="dxa" w:w="60"/>
              <w:left w:type="dxa" w:w="100"/>
              <w:bottom w:type="dxa" w:w="60"/>
              <w:right w:type="dxa" w:w="100"/>
            </w:tcMar>
            <w:vAlign w:val="center"/>
          </w:tcPr>
          <w:p>
            <w:r>
              <w:rPr>
                <w:rFonts w:ascii="Arial" w:cs="Arial" w:eastAsia="Arial" w:hAnsi="Arial"/>
                <w:b w:val="false"/>
                <w:bCs w:val="false"/>
                <w:sz w:val="22"/>
                <w:szCs w:val="22"/>
              </w:rPr>
              <w:t xml:space="preserve">3</w:t>
            </w:r>
          </w:p>
        </w:tc>
        <w:tc>
          <w:tcPr>
            <w:tcW w:type="dxa" w:w="500"/>
            <w:tcBorders>
              <w:top w:val="single" w:color="999999" w:sz="2"/>
              <w:left w:val="single" w:color="999999" w:sz="2"/>
              <w:bottom w:val="single" w:color="999999" w:sz="2"/>
              <w:right w:val="single" w:color="999999" w:sz="2"/>
            </w:tcBorders>
            <w:tcMar>
              <w:top w:type="dxa" w:w="60"/>
              <w:left w:type="dxa" w:w="100"/>
              <w:bottom w:type="dxa" w:w="60"/>
              <w:right w:type="dxa" w:w="100"/>
            </w:tcMar>
            <w:vAlign w:val="center"/>
          </w:tcPr>
          <w:p>
            <w:r>
              <w:rPr>
                <w:rFonts w:ascii="Arial" w:cs="Arial" w:eastAsia="Arial" w:hAnsi="Arial"/>
                <w:b w:val="false"/>
                <w:bCs w:val="false"/>
                <w:sz w:val="22"/>
                <w:szCs w:val="22"/>
              </w:rPr>
              <w:t xml:space="preserve">0</w:t>
            </w:r>
          </w:p>
        </w:tc>
        <w:tc>
          <w:tcPr>
            <w:tcW w:type="dxa" w:w="500"/>
            <w:tcBorders>
              <w:top w:val="single" w:color="999999" w:sz="2"/>
              <w:left w:val="single" w:color="999999" w:sz="2"/>
              <w:bottom w:val="single" w:color="999999" w:sz="2"/>
              <w:right w:val="single" w:color="999999" w:sz="2"/>
            </w:tcBorders>
            <w:tcMar>
              <w:top w:type="dxa" w:w="60"/>
              <w:left w:type="dxa" w:w="100"/>
              <w:bottom w:type="dxa" w:w="60"/>
              <w:right w:type="dxa" w:w="100"/>
            </w:tcMar>
            <w:vAlign w:val="center"/>
          </w:tcPr>
          <w:p>
            <w:r>
              <w:rPr>
                <w:rFonts w:ascii="Arial" w:cs="Arial" w:eastAsia="Arial" w:hAnsi="Arial"/>
                <w:b w:val="false"/>
                <w:bCs w:val="false"/>
                <w:sz w:val="22"/>
                <w:szCs w:val="22"/>
              </w:rPr>
              <w:t xml:space="preserve">0</w:t>
            </w:r>
          </w:p>
        </w:tc>
        <w:tc>
          <w:tcPr>
            <w:tcW w:type="dxa" w:w="500"/>
            <w:tcBorders>
              <w:top w:val="single" w:color="999999" w:sz="2"/>
              <w:left w:val="single" w:color="999999" w:sz="2"/>
              <w:bottom w:val="single" w:color="999999" w:sz="2"/>
              <w:right w:val="single" w:color="999999" w:sz="2"/>
            </w:tcBorders>
            <w:tcMar>
              <w:top w:type="dxa" w:w="60"/>
              <w:left w:type="dxa" w:w="100"/>
              <w:bottom w:type="dxa" w:w="60"/>
              <w:right w:type="dxa" w:w="100"/>
            </w:tcMar>
            <w:vAlign w:val="center"/>
          </w:tcPr>
          <w:p>
            <w:r>
              <w:rPr>
                <w:rFonts w:ascii="Arial" w:cs="Arial" w:eastAsia="Arial" w:hAnsi="Arial"/>
                <w:b w:val="false"/>
                <w:bCs w:val="false"/>
                <w:sz w:val="22"/>
                <w:szCs w:val="22"/>
              </w:rPr>
              <w:t xml:space="preserve">3</w:t>
            </w:r>
          </w:p>
        </w:tc>
      </w:tr>
      <w:tr>
        <w:tc>
          <w:tcPr>
            <w:tcW w:type="dxa" w:w="2200"/>
            <w:tcBorders>
              <w:top w:val="single" w:color="999999" w:sz="2"/>
              <w:left w:val="single" w:color="999999" w:sz="2"/>
              <w:bottom w:val="single" w:color="999999" w:sz="2"/>
              <w:right w:val="single" w:color="999999" w:sz="2"/>
            </w:tcBorders>
            <w:shd w:fill="F2F2F2" w:val="clear"/>
            <w:tcMar>
              <w:top w:type="dxa" w:w="60"/>
              <w:left w:type="dxa" w:w="100"/>
              <w:bottom w:type="dxa" w:w="60"/>
              <w:right w:type="dxa" w:w="100"/>
            </w:tcMar>
            <w:vAlign w:val="center"/>
          </w:tcPr>
          <w:p>
            <w:r>
              <w:rPr>
                <w:rFonts w:ascii="Arial" w:cs="Arial" w:eastAsia="Arial" w:hAnsi="Arial"/>
                <w:b/>
                <w:bCs/>
                <w:sz w:val="22"/>
                <w:szCs w:val="22"/>
              </w:rPr>
              <w:t xml:space="preserve">Pre-requisite / Exposure</w:t>
            </w:r>
          </w:p>
        </w:tc>
        <w:tc>
          <w:tcPr>
            <w:tcW w:type="dxa" w:w="7160"/>
            <w:gridSpan w:val="5"/>
            <w:tcBorders>
              <w:top w:val="single" w:color="999999" w:sz="2"/>
              <w:left w:val="single" w:color="999999" w:sz="2"/>
              <w:bottom w:val="single" w:color="999999" w:sz="2"/>
              <w:right w:val="single" w:color="999999" w:sz="2"/>
            </w:tcBorders>
            <w:tcMar>
              <w:top w:type="dxa" w:w="60"/>
              <w:left w:type="dxa" w:w="100"/>
              <w:bottom w:type="dxa" w:w="60"/>
              <w:right w:type="dxa" w:w="100"/>
            </w:tcMar>
          </w:tcPr>
          <w:p>
            <w:r>
              <w:rPr>
                <w:rFonts w:ascii="Arial" w:cs="Arial" w:eastAsia="Arial" w:hAnsi="Arial"/>
                <w:sz w:val="22"/>
                <w:szCs w:val="22"/>
              </w:rPr>
              <w:t xml:space="preserve">Computer Networks and Engineering Mathematics</w:t>
            </w:r>
          </w:p>
        </w:tc>
      </w:tr>
      <w:tr>
        <w:tc>
          <w:tcPr>
            <w:tcW w:type="dxa" w:w="2200"/>
            <w:tcBorders>
              <w:top w:val="single" w:color="999999" w:sz="2"/>
              <w:left w:val="single" w:color="999999" w:sz="2"/>
              <w:bottom w:val="single" w:color="999999" w:sz="2"/>
              <w:right w:val="single" w:color="999999" w:sz="2"/>
            </w:tcBorders>
            <w:shd w:fill="F2F2F2" w:val="clear"/>
            <w:tcMar>
              <w:top w:type="dxa" w:w="60"/>
              <w:left w:type="dxa" w:w="100"/>
              <w:bottom w:type="dxa" w:w="60"/>
              <w:right w:type="dxa" w:w="100"/>
            </w:tcMar>
            <w:vAlign w:val="center"/>
          </w:tcPr>
          <w:p>
            <w:r>
              <w:rPr>
                <w:rFonts w:ascii="Arial" w:cs="Arial" w:eastAsia="Arial" w:hAnsi="Arial"/>
                <w:b/>
                <w:bCs/>
                <w:sz w:val="22"/>
                <w:szCs w:val="22"/>
              </w:rPr>
              <w:t xml:space="preserve">Co-requisite</w:t>
            </w:r>
          </w:p>
        </w:tc>
        <w:tc>
          <w:tcPr>
            <w:tcW w:type="dxa" w:w="7160"/>
            <w:gridSpan w:val="5"/>
            <w:tcBorders>
              <w:top w:val="single" w:color="999999" w:sz="2"/>
              <w:left w:val="single" w:color="999999" w:sz="2"/>
              <w:bottom w:val="single" w:color="999999" w:sz="2"/>
              <w:right w:val="single" w:color="999999" w:sz="2"/>
            </w:tcBorders>
            <w:tcMar>
              <w:top w:type="dxa" w:w="60"/>
              <w:left w:type="dxa" w:w="100"/>
              <w:bottom w:type="dxa" w:w="60"/>
              <w:right w:type="dxa" w:w="100"/>
            </w:tcMar>
          </w:tcPr>
          <w:p>
            <w:r>
              <w:rPr>
                <w:rFonts w:ascii="Arial" w:cs="Arial" w:eastAsia="Arial" w:hAnsi="Arial"/>
                <w:sz w:val="22"/>
                <w:szCs w:val="22"/>
              </w:rPr>
              <w:t xml:space="preserve">NIL</w:t>
            </w:r>
          </w:p>
        </w:tc>
      </w:tr>
    </w:tbl>
    <w:p>
      <w:pPr>
        <w:pBdr>
          <w:bottom w:val="single" w:color="2E75B6" w:sz="6" w:space="2"/>
        </w:pBdr>
        <w:spacing w:after="120" w:before="260"/>
      </w:pPr>
      <w:r>
        <w:rPr>
          <w:rFonts w:ascii="Arial" w:cs="Arial" w:eastAsia="Arial" w:hAnsi="Arial"/>
          <w:b/>
          <w:bCs/>
          <w:color w:val="1F3864"/>
          <w:sz w:val="26"/>
          <w:szCs w:val="26"/>
        </w:rPr>
        <w:t xml:space="preserve">Course Objectives</w:t>
      </w:r>
    </w:p>
    <w:p>
      <w:pPr>
        <w:pStyle w:val="ListParagraph"/>
        <w:numPr>
          <w:ilvl w:val="0"/>
          <w:numId w:val="2"/>
        </w:numPr>
        <w:spacing w:after="60"/>
        <w:jc w:val="both"/>
      </w:pPr>
      <w:r>
        <w:rPr>
          <w:rFonts w:ascii="Arial" w:cs="Arial" w:eastAsia="Arial" w:hAnsi="Arial"/>
          <w:sz w:val="22"/>
          <w:szCs w:val="22"/>
        </w:rPr>
        <w:t xml:space="preserve">To enable the students to describe the goals and design principles for and common structures of secret key primitives such as block and stream ciphers and message authentication codes.</w:t>
      </w:r>
    </w:p>
    <w:p>
      <w:pPr>
        <w:pStyle w:val="ListParagraph"/>
        <w:numPr>
          <w:ilvl w:val="0"/>
          <w:numId w:val="2"/>
        </w:numPr>
        <w:spacing w:after="60"/>
        <w:jc w:val="both"/>
      </w:pPr>
      <w:r>
        <w:rPr>
          <w:rFonts w:ascii="Arial" w:cs="Arial" w:eastAsia="Arial" w:hAnsi="Arial"/>
          <w:sz w:val="22"/>
          <w:szCs w:val="22"/>
        </w:rPr>
        <w:t xml:space="preserve">To allow students to identify, analyse and explain various forms of attacks based on improper usage of primitives, modes or protocols.</w:t>
      </w:r>
    </w:p>
    <w:p>
      <w:pPr>
        <w:pStyle w:val="ListParagraph"/>
        <w:numPr>
          <w:ilvl w:val="0"/>
          <w:numId w:val="2"/>
        </w:numPr>
        <w:spacing w:after="60"/>
        <w:jc w:val="both"/>
      </w:pPr>
      <w:r>
        <w:rPr>
          <w:rFonts w:ascii="Arial" w:cs="Arial" w:eastAsia="Arial" w:hAnsi="Arial"/>
          <w:sz w:val="22"/>
          <w:szCs w:val="22"/>
        </w:rPr>
        <w:t xml:space="preserve">To enhance the skills to explain the various roles of hash functions as parts of other cryptographic primitives and protocols and the requirements this places on hash functions.</w:t>
      </w:r>
    </w:p>
    <w:p>
      <w:pPr>
        <w:pStyle w:val="ListParagraph"/>
        <w:numPr>
          <w:ilvl w:val="0"/>
          <w:numId w:val="2"/>
        </w:numPr>
        <w:spacing w:after="60"/>
        <w:jc w:val="both"/>
      </w:pPr>
      <w:r>
        <w:rPr>
          <w:rFonts w:ascii="Arial" w:cs="Arial" w:eastAsia="Arial" w:hAnsi="Arial"/>
          <w:sz w:val="22"/>
          <w:szCs w:val="22"/>
        </w:rPr>
        <w:t xml:space="preserve">To provide the knowledge to explain basic key management techniques in both secret key and public key cryptography.</w:t>
      </w:r>
    </w:p>
    <w:p>
      <w:pPr>
        <w:pBdr>
          <w:bottom w:val="single" w:color="2E75B6" w:sz="6" w:space="2"/>
        </w:pBdr>
        <w:spacing w:after="120" w:before="260"/>
      </w:pPr>
      <w:r>
        <w:rPr>
          <w:rFonts w:ascii="Arial" w:cs="Arial" w:eastAsia="Arial" w:hAnsi="Arial"/>
          <w:b/>
          <w:bCs/>
          <w:color w:val="1F3864"/>
          <w:sz w:val="26"/>
          <w:szCs w:val="26"/>
        </w:rPr>
        <w:t xml:space="preserve">Course Outcomes</w:t>
      </w:r>
    </w:p>
    <w:p>
      <w:pPr>
        <w:spacing w:after="120"/>
        <w:jc w:val="both"/>
      </w:pPr>
      <w:r>
        <w:rPr>
          <w:rFonts w:ascii="Arial" w:cs="Arial" w:eastAsia="Arial" w:hAnsi="Arial"/>
          <w:sz w:val="22"/>
          <w:szCs w:val="22"/>
        </w:rPr>
        <w:t xml:space="preserve">On the completion of this course the student will be able to</w:t>
      </w:r>
    </w:p>
    <w:p>
      <w:pPr>
        <w:pStyle w:val="ListParagraph"/>
        <w:numPr>
          <w:ilvl w:val="0"/>
          <w:numId w:val="2"/>
        </w:numPr>
        <w:spacing w:after="60"/>
        <w:jc w:val="both"/>
      </w:pPr>
      <w:r>
        <w:rPr>
          <w:rFonts w:ascii="Arial" w:cs="Arial" w:eastAsia="Arial" w:hAnsi="Arial"/>
          <w:sz w:val="22"/>
          <w:szCs w:val="22"/>
        </w:rPr>
        <w:t xml:space="preserve">Describe insight into conceptual and practical aspects of cryptographic algorithms.</w:t>
      </w:r>
    </w:p>
    <w:p>
      <w:pPr>
        <w:pStyle w:val="ListParagraph"/>
        <w:numPr>
          <w:ilvl w:val="0"/>
          <w:numId w:val="2"/>
        </w:numPr>
        <w:spacing w:after="60"/>
        <w:jc w:val="both"/>
      </w:pPr>
      <w:r>
        <w:rPr>
          <w:rFonts w:ascii="Arial" w:cs="Arial" w:eastAsia="Arial" w:hAnsi="Arial"/>
          <w:sz w:val="22"/>
          <w:szCs w:val="22"/>
        </w:rPr>
        <w:t xml:space="preserve">Explain complete understanding of the usage of cryptographic techniques.</w:t>
      </w:r>
    </w:p>
    <w:p>
      <w:pPr>
        <w:pStyle w:val="ListParagraph"/>
        <w:numPr>
          <w:ilvl w:val="0"/>
          <w:numId w:val="2"/>
        </w:numPr>
        <w:spacing w:after="60"/>
        <w:jc w:val="both"/>
      </w:pPr>
      <w:r>
        <w:rPr>
          <w:rFonts w:ascii="Arial" w:cs="Arial" w:eastAsia="Arial" w:hAnsi="Arial"/>
          <w:sz w:val="22"/>
          <w:szCs w:val="22"/>
        </w:rPr>
        <w:t xml:space="preserve">Understand basic knowledge of different types of attacks and security mechanisms.</w:t>
      </w:r>
    </w:p>
    <w:p>
      <w:pPr>
        <w:pStyle w:val="ListParagraph"/>
        <w:numPr>
          <w:ilvl w:val="0"/>
          <w:numId w:val="2"/>
        </w:numPr>
        <w:spacing w:after="60"/>
        <w:jc w:val="both"/>
      </w:pPr>
      <w:r>
        <w:rPr>
          <w:rFonts w:ascii="Arial" w:cs="Arial" w:eastAsia="Arial" w:hAnsi="Arial"/>
          <w:sz w:val="22"/>
          <w:szCs w:val="22"/>
        </w:rPr>
        <w:t xml:space="preserve">Apply various symmetric cryptography algorithms and basic algorithms of number theory used in the study of security protocols.</w:t>
      </w:r>
    </w:p>
    <w:p>
      <w:pPr>
        <w:pStyle w:val="ListParagraph"/>
        <w:numPr>
          <w:ilvl w:val="0"/>
          <w:numId w:val="2"/>
        </w:numPr>
        <w:spacing w:after="60"/>
        <w:jc w:val="both"/>
      </w:pPr>
      <w:r>
        <w:rPr>
          <w:rFonts w:ascii="Arial" w:cs="Arial" w:eastAsia="Arial" w:hAnsi="Arial"/>
          <w:sz w:val="22"/>
          <w:szCs w:val="22"/>
        </w:rPr>
        <w:t xml:space="preserve">Understand various types of Hash Function.</w:t>
      </w:r>
    </w:p>
    <w:p>
      <w:pPr>
        <w:pBdr>
          <w:bottom w:val="single" w:color="2E75B6" w:sz="6" w:space="2"/>
        </w:pBdr>
        <w:spacing w:after="120" w:before="260"/>
      </w:pPr>
      <w:r>
        <w:rPr>
          <w:rFonts w:ascii="Arial" w:cs="Arial" w:eastAsia="Arial" w:hAnsi="Arial"/>
          <w:b/>
          <w:bCs/>
          <w:color w:val="1F3864"/>
          <w:sz w:val="26"/>
          <w:szCs w:val="26"/>
        </w:rPr>
        <w:t xml:space="preserve">Course Description</w:t>
      </w:r>
    </w:p>
    <w:p>
      <w:pPr>
        <w:spacing w:after="120"/>
        <w:jc w:val="both"/>
      </w:pPr>
      <w:r>
        <w:rPr>
          <w:rFonts w:ascii="Arial" w:cs="Arial" w:eastAsia="Arial" w:hAnsi="Arial"/>
          <w:sz w:val="22"/>
          <w:szCs w:val="22"/>
        </w:rPr>
        <w:t xml:space="preserve">This course will focus on principles and practice of cryptography, symmetric block ciphers (DES, AES, other contemporary symmetric ciphers), linear and differential cryptanalysis, perfect secrecy, public-key cryptography algorithms for factoring and discrete logarithms, cryptographic protocols, hash functions, authentication, key management, key exchange, signature schemes, email and web security, viruses, firewalls, digital right management, and other topics.</w:t>
      </w:r>
    </w:p>
    <w:p>
      <w:pPr>
        <w:pBdr>
          <w:bottom w:val="single" w:color="2E75B6" w:sz="6" w:space="2"/>
        </w:pBdr>
        <w:spacing w:after="120" w:before="260"/>
      </w:pPr>
      <w:r>
        <w:rPr>
          <w:rFonts w:ascii="Arial" w:cs="Arial" w:eastAsia="Arial" w:hAnsi="Arial"/>
          <w:b/>
          <w:bCs/>
          <w:color w:val="1F3864"/>
          <w:sz w:val="26"/>
          <w:szCs w:val="26"/>
        </w:rPr>
        <w:t xml:space="preserve">Course Content</w:t>
      </w:r>
    </w:p>
    <w:p>
      <w:pPr>
        <w:spacing w:after="40" w:before="120"/>
      </w:pPr>
      <w:r>
        <w:rPr>
          <w:rFonts w:ascii="Arial" w:cs="Arial" w:eastAsia="Arial" w:hAnsi="Arial"/>
          <w:b/>
          <w:bCs/>
          <w:color w:val="1F3864"/>
          <w:sz w:val="22"/>
          <w:szCs w:val="22"/>
        </w:rPr>
        <w:t xml:space="preserve">Unit-I: Overview of Cryptography</w:t>
      </w:r>
      <w:r>
        <w:rPr>
          <w:rFonts w:ascii="Arial" w:cs="Arial" w:eastAsia="Arial" w:hAnsi="Arial"/>
          <w:b/>
          <w:bCs/>
          <w:color w:val="2E75B6"/>
          <w:sz w:val="20"/>
          <w:szCs w:val="20"/>
        </w:rPr>
        <w:t xml:space="preserve">    [12 Lecture Hours]</w:t>
      </w:r>
    </w:p>
    <w:p>
      <w:pPr>
        <w:spacing w:after="120"/>
        <w:jc w:val="both"/>
      </w:pPr>
      <w:r>
        <w:rPr>
          <w:rFonts w:ascii="Arial" w:cs="Arial" w:eastAsia="Arial" w:hAnsi="Arial"/>
          <w:sz w:val="22"/>
          <w:szCs w:val="22"/>
        </w:rPr>
        <w:t xml:space="preserve">Introduction and preliminaries, Cryptographic protocols, Protocol Building Blocks - Communication using symmetric cryptography, One way functions, One-way Hash functions, Communications using Public key cryptography. Digital signatures with encryption, Random and pseudo-random sequence generation, Basic protocols - Authentication and key exchange, Formal analysis of authentication and key exchange protocols, Multiple key Public-key cryptography, Secret splitting, Secret sharing, cryptographic protection of databases.</w:t>
      </w:r>
    </w:p>
    <w:p>
      <w:pPr>
        <w:spacing w:after="40" w:before="120"/>
      </w:pPr>
      <w:r>
        <w:rPr>
          <w:rFonts w:ascii="Arial" w:cs="Arial" w:eastAsia="Arial" w:hAnsi="Arial"/>
          <w:b/>
          <w:bCs/>
          <w:color w:val="1F3864"/>
          <w:sz w:val="22"/>
          <w:szCs w:val="22"/>
        </w:rPr>
        <w:t xml:space="preserve">Unit-II: Intermediate Protocols</w:t>
      </w:r>
      <w:r>
        <w:rPr>
          <w:rFonts w:ascii="Arial" w:cs="Arial" w:eastAsia="Arial" w:hAnsi="Arial"/>
          <w:b/>
          <w:bCs/>
          <w:color w:val="2E75B6"/>
          <w:sz w:val="20"/>
          <w:szCs w:val="20"/>
        </w:rPr>
        <w:t xml:space="preserve">    [09 Lecture Hours]</w:t>
      </w:r>
    </w:p>
    <w:p>
      <w:pPr>
        <w:spacing w:after="120"/>
        <w:jc w:val="both"/>
      </w:pPr>
      <w:r>
        <w:rPr>
          <w:rFonts w:ascii="Arial" w:cs="Arial" w:eastAsia="Arial" w:hAnsi="Arial"/>
          <w:sz w:val="22"/>
          <w:szCs w:val="22"/>
        </w:rPr>
        <w:t xml:space="preserve">Intermediate protocols - Time stamping services, Subliminal channel, Undeniable digital signatures, Designated Confirmer signatures, Proxy signatures, Group signatures, Fail-stop digital signatures, Computing with encrypted data, Bit Commitment, Fair coin flips, Mental Poker, One-way accumulators, All-or-nothing disclosure of secrets, Key escrow, Advanced protocols - Zero-knowledge proofs, Blind Signatures, Identity-Based public-key cryptography, Oblivious transfer, Oblivious signatures, Simultaneous contract signing, Digital certified mail, Simultaneous exchange of secrets. Esoteric protocols - Secure elections, Secure multiparty computation, Anonymous message broadcast, Digital cash.</w:t>
      </w:r>
    </w:p>
    <w:p>
      <w:pPr>
        <w:spacing w:after="40" w:before="120"/>
      </w:pPr>
      <w:r>
        <w:rPr>
          <w:rFonts w:ascii="Arial" w:cs="Arial" w:eastAsia="Arial" w:hAnsi="Arial"/>
          <w:b/>
          <w:bCs/>
          <w:color w:val="1F3864"/>
          <w:sz w:val="22"/>
          <w:szCs w:val="22"/>
        </w:rPr>
        <w:t xml:space="preserve">Unit-III: Cryptographic Techniques</w:t>
      </w:r>
      <w:r>
        <w:rPr>
          <w:rFonts w:ascii="Arial" w:cs="Arial" w:eastAsia="Arial" w:hAnsi="Arial"/>
          <w:b/>
          <w:bCs/>
          <w:color w:val="2E75B6"/>
          <w:sz w:val="20"/>
          <w:szCs w:val="20"/>
        </w:rPr>
        <w:t xml:space="preserve">    [09 Lecture Hours]</w:t>
      </w:r>
    </w:p>
    <w:p>
      <w:pPr>
        <w:spacing w:after="120"/>
        <w:jc w:val="both"/>
      </w:pPr>
      <w:r>
        <w:rPr>
          <w:rFonts w:ascii="Arial" w:cs="Arial" w:eastAsia="Arial" w:hAnsi="Arial"/>
          <w:sz w:val="22"/>
          <w:szCs w:val="22"/>
        </w:rPr>
        <w:t xml:space="preserve">Cryptographic techniques - Key Length - Symmetric key length, Public key length, Birthday attacks against One-Way Hash functions, Caveat Emptor, Key Management - Generating keys, Nonlinear key spaces, Transferring, Verifying, Using, Updating and Storing keys, Backup Keys, Compromised keys, Lifetime of keys, Destroying keys, Public-key management. Algorithms types and Modes, Choosing a cipher mode, Choosing an algorithm, Encrypting communication channels, Encrypting data for storage, Hardware versus software encryption.</w:t>
      </w:r>
    </w:p>
    <w:p>
      <w:pPr>
        <w:spacing w:after="40" w:before="120"/>
      </w:pPr>
      <w:r>
        <w:rPr>
          <w:rFonts w:ascii="Arial" w:cs="Arial" w:eastAsia="Arial" w:hAnsi="Arial"/>
          <w:b/>
          <w:bCs/>
          <w:color w:val="1F3864"/>
          <w:sz w:val="22"/>
          <w:szCs w:val="22"/>
        </w:rPr>
        <w:t xml:space="preserve">Unit-IV: Cryptographic Algorithms</w:t>
      </w:r>
      <w:r>
        <w:rPr>
          <w:rFonts w:ascii="Arial" w:cs="Arial" w:eastAsia="Arial" w:hAnsi="Arial"/>
          <w:b/>
          <w:bCs/>
          <w:color w:val="2E75B6"/>
          <w:sz w:val="20"/>
          <w:szCs w:val="20"/>
        </w:rPr>
        <w:t xml:space="preserve">    [09 Lecture Hours]</w:t>
      </w:r>
    </w:p>
    <w:p>
      <w:pPr>
        <w:spacing w:after="120"/>
        <w:jc w:val="both"/>
      </w:pPr>
      <w:r>
        <w:rPr>
          <w:rFonts w:ascii="Arial" w:cs="Arial" w:eastAsia="Arial" w:hAnsi="Arial"/>
          <w:sz w:val="22"/>
          <w:szCs w:val="22"/>
        </w:rPr>
        <w:t xml:space="preserve">Cryptographic algorithms - Information theory, Complexity theory, Number theory, Data Encryption and Standard - Description, Security, Differential and Linear cryptanalysis, DES variants, Block Ciphers Lucifer, New DES, FEAL, RC2, IDEA, MMB, Other Block algorithms, Theory of Block Cipher Design, Using One-Way Hash functions, Choosing a block algorithm.</w:t>
      </w:r>
    </w:p>
    <w:p>
      <w:pPr>
        <w:spacing w:after="40" w:before="120"/>
      </w:pPr>
      <w:r>
        <w:rPr>
          <w:rFonts w:ascii="Arial" w:cs="Arial" w:eastAsia="Arial" w:hAnsi="Arial"/>
          <w:b/>
          <w:bCs/>
          <w:color w:val="1F3864"/>
          <w:sz w:val="22"/>
          <w:szCs w:val="22"/>
        </w:rPr>
        <w:t xml:space="preserve">Unit-V: Hash Algorithms</w:t>
      </w:r>
      <w:r>
        <w:rPr>
          <w:rFonts w:ascii="Arial" w:cs="Arial" w:eastAsia="Arial" w:hAnsi="Arial"/>
          <w:b/>
          <w:bCs/>
          <w:color w:val="2E75B6"/>
          <w:sz w:val="20"/>
          <w:szCs w:val="20"/>
        </w:rPr>
        <w:t xml:space="preserve">    [06 Lecture Hours]</w:t>
      </w:r>
    </w:p>
    <w:p>
      <w:pPr>
        <w:spacing w:after="120"/>
        <w:jc w:val="both"/>
      </w:pPr>
      <w:r>
        <w:rPr>
          <w:rFonts w:ascii="Arial" w:cs="Arial" w:eastAsia="Arial" w:hAnsi="Arial"/>
          <w:sz w:val="22"/>
          <w:szCs w:val="22"/>
        </w:rPr>
        <w:t xml:space="preserve">One-Way Hash Functions - MD2, MD4, MD5, SHA, HAVAL, Using symmetric key algorithms, Using public key algorithms, Knapsack, RSA, DSA, Secret-sharing algorithms.</w:t>
      </w:r>
    </w:p>
    <w:p>
      <w:pPr>
        <w:pBdr>
          <w:bottom w:val="single" w:color="2E75B6" w:sz="6" w:space="2"/>
        </w:pBdr>
        <w:spacing w:after="120" w:before="260"/>
      </w:pPr>
      <w:r>
        <w:rPr>
          <w:rFonts w:ascii="Arial" w:cs="Arial" w:eastAsia="Arial" w:hAnsi="Arial"/>
          <w:b/>
          <w:bCs/>
          <w:color w:val="1F3864"/>
          <w:sz w:val="26"/>
          <w:szCs w:val="26"/>
        </w:rPr>
        <w:t xml:space="preserve">Text Books</w:t>
      </w:r>
    </w:p>
    <w:p>
      <w:pPr>
        <w:pStyle w:val="ListParagraph"/>
        <w:numPr>
          <w:ilvl w:val="0"/>
          <w:numId w:val="2"/>
        </w:numPr>
        <w:spacing w:after="60"/>
        <w:jc w:val="both"/>
      </w:pPr>
      <w:r>
        <w:rPr>
          <w:rFonts w:ascii="Arial" w:cs="Arial" w:eastAsia="Arial" w:hAnsi="Arial"/>
          <w:sz w:val="22"/>
          <w:szCs w:val="22"/>
        </w:rPr>
        <w:t xml:space="preserve">Applied Cryptography: Protocols, Algorithms and Source code in C - Bruce Schneier, John Wiley &amp; Sons, 1996.</w:t>
      </w:r>
    </w:p>
    <w:p>
      <w:pPr>
        <w:pStyle w:val="ListParagraph"/>
        <w:numPr>
          <w:ilvl w:val="0"/>
          <w:numId w:val="2"/>
        </w:numPr>
        <w:spacing w:after="60"/>
        <w:jc w:val="both"/>
      </w:pPr>
      <w:r>
        <w:rPr>
          <w:rFonts w:ascii="Arial" w:cs="Arial" w:eastAsia="Arial" w:hAnsi="Arial"/>
          <w:sz w:val="22"/>
          <w:szCs w:val="22"/>
        </w:rPr>
        <w:t xml:space="preserve">Introduction to Modern Cryptography - Jonathan Katz, Yehuda Lindell, Chapman and Hall/CRC, Edition 1, 2007.</w:t>
      </w:r>
    </w:p>
    <w:p>
      <w:pPr>
        <w:pBdr>
          <w:bottom w:val="single" w:color="2E75B6" w:sz="6" w:space="2"/>
        </w:pBdr>
        <w:spacing w:after="120" w:before="260"/>
      </w:pPr>
      <w:r>
        <w:rPr>
          <w:rFonts w:ascii="Arial" w:cs="Arial" w:eastAsia="Arial" w:hAnsi="Arial"/>
          <w:b/>
          <w:bCs/>
          <w:color w:val="1F3864"/>
          <w:sz w:val="26"/>
          <w:szCs w:val="26"/>
        </w:rPr>
        <w:t xml:space="preserve">Reference Books</w:t>
      </w:r>
    </w:p>
    <w:p>
      <w:pPr>
        <w:pStyle w:val="ListParagraph"/>
        <w:numPr>
          <w:ilvl w:val="0"/>
          <w:numId w:val="2"/>
        </w:numPr>
        <w:spacing w:after="60"/>
        <w:jc w:val="both"/>
      </w:pPr>
      <w:r>
        <w:rPr>
          <w:rFonts w:ascii="Arial" w:cs="Arial" w:eastAsia="Arial" w:hAnsi="Arial"/>
          <w:sz w:val="22"/>
          <w:szCs w:val="22"/>
        </w:rPr>
        <w:t xml:space="preserve">Cryptography: A New Dimension in Computer Data Security - Carl Meyer, S. M. Matyas, John Wiley &amp; Sons, 1982.</w:t>
      </w:r>
    </w:p>
    <w:p>
      <w:pPr>
        <w:pStyle w:val="ListParagraph"/>
        <w:numPr>
          <w:ilvl w:val="0"/>
          <w:numId w:val="2"/>
        </w:numPr>
        <w:spacing w:after="60"/>
        <w:jc w:val="both"/>
      </w:pPr>
      <w:r>
        <w:rPr>
          <w:rFonts w:ascii="Arial" w:cs="Arial" w:eastAsia="Arial" w:hAnsi="Arial"/>
          <w:sz w:val="22"/>
          <w:szCs w:val="22"/>
        </w:rPr>
        <w:t xml:space="preserve">Understanding Cryptography - Christof Paar, Jan Pelzl, Bart Preneel, Springer, Edition 2, 2010.</w:t>
      </w:r>
    </w:p>
    <w:p>
      <w:pPr>
        <w:pBdr>
          <w:bottom w:val="single" w:color="2E75B6" w:sz="6" w:space="2"/>
        </w:pBdr>
        <w:spacing w:after="120" w:before="260"/>
      </w:pPr>
      <w:r>
        <w:rPr>
          <w:rFonts w:ascii="Arial" w:cs="Arial" w:eastAsia="Arial" w:hAnsi="Arial"/>
          <w:b/>
          <w:bCs/>
          <w:color w:val="1F3864"/>
          <w:sz w:val="26"/>
          <w:szCs w:val="26"/>
        </w:rPr>
        <w:t xml:space="preserve">Modes of Evaluation</w:t>
      </w:r>
    </w:p>
    <w:p>
      <w:pPr>
        <w:spacing w:after="120"/>
        <w:jc w:val="both"/>
      </w:pPr>
      <w:r>
        <w:rPr>
          <w:rFonts w:ascii="Arial" w:cs="Arial" w:eastAsia="Arial" w:hAnsi="Arial"/>
          <w:sz w:val="22"/>
          <w:szCs w:val="22"/>
        </w:rPr>
        <w:t xml:space="preserve">Quiz / Assignment / Presentation / Extempore / Written Examination</w:t>
      </w:r>
    </w:p>
    <w:p>
      <w:pPr>
        <w:pBdr>
          <w:bottom w:val="single" w:color="2E75B6" w:sz="6" w:space="2"/>
        </w:pBdr>
        <w:spacing w:after="120" w:before="260"/>
      </w:pPr>
      <w:r>
        <w:rPr>
          <w:rFonts w:ascii="Arial" w:cs="Arial" w:eastAsia="Arial" w:hAnsi="Arial"/>
          <w:b/>
          <w:bCs/>
          <w:color w:val="1F3864"/>
          <w:sz w:val="26"/>
          <w:szCs w:val="26"/>
        </w:rPr>
        <w:t xml:space="preserve">Examination Scheme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2453"/>
        <w:gridCol w:w="2453"/>
        <w:gridCol w:w="2453"/>
      </w:tblGrid>
      <w:tr>
        <w:tc>
          <w:tcPr>
            <w:tcW w:type="dxa" w:w="2000"/>
            <w:tcBorders>
              <w:top w:val="single" w:color="999999" w:sz="2"/>
              <w:left w:val="single" w:color="999999" w:sz="2"/>
              <w:bottom w:val="single" w:color="999999" w:sz="2"/>
              <w:right w:val="single" w:color="999999" w:sz="2"/>
            </w:tcBorders>
            <w:shd w:fill="2E75B6" w:val="clear"/>
            <w:tcMar>
              <w:top w:type="dxa" w:w="60"/>
              <w:left w:type="dxa" w:w="100"/>
              <w:bottom w:type="dxa" w:w="60"/>
              <w:right w:type="dxa" w:w="100"/>
            </w:tcMar>
            <w:vAlign w:val="center"/>
          </w:tcPr>
          <w:p>
            <w:r>
              <w:rPr>
                <w:rFonts w:ascii="Arial" w:cs="Arial" w:eastAsia="Arial" w:hAnsi="Arial"/>
                <w:b/>
                <w:bCs/>
                <w:sz w:val="22"/>
                <w:szCs w:val="22"/>
              </w:rPr>
              <w:t xml:space="preserve">Components</w:t>
            </w:r>
          </w:p>
        </w:tc>
        <w:tc>
          <w:tcPr>
            <w:tcW w:type="dxa" w:w="2453"/>
            <w:tcBorders>
              <w:top w:val="single" w:color="999999" w:sz="2"/>
              <w:left w:val="single" w:color="999999" w:sz="2"/>
              <w:bottom w:val="single" w:color="999999" w:sz="2"/>
              <w:right w:val="single" w:color="999999" w:sz="2"/>
            </w:tcBorders>
            <w:shd w:fill="D9E2F3" w:val="clear"/>
            <w:tcMar>
              <w:top w:type="dxa" w:w="60"/>
              <w:left w:type="dxa" w:w="100"/>
              <w:bottom w:type="dxa" w:w="60"/>
              <w:right w:type="dxa" w:w="100"/>
            </w:tcMar>
            <w:vAlign w:val="center"/>
          </w:tcPr>
          <w:p>
            <w:r>
              <w:rPr>
                <w:rFonts w:ascii="Arial" w:cs="Arial" w:eastAsia="Arial" w:hAnsi="Arial"/>
                <w:b/>
                <w:bCs/>
                <w:sz w:val="22"/>
                <w:szCs w:val="22"/>
              </w:rPr>
              <w:t xml:space="preserve">Mid Term</w:t>
            </w:r>
          </w:p>
        </w:tc>
        <w:tc>
          <w:tcPr>
            <w:tcW w:type="dxa" w:w="2453"/>
            <w:tcBorders>
              <w:top w:val="single" w:color="999999" w:sz="2"/>
              <w:left w:val="single" w:color="999999" w:sz="2"/>
              <w:bottom w:val="single" w:color="999999" w:sz="2"/>
              <w:right w:val="single" w:color="999999" w:sz="2"/>
            </w:tcBorders>
            <w:shd w:fill="D9E2F3" w:val="clear"/>
            <w:tcMar>
              <w:top w:type="dxa" w:w="60"/>
              <w:left w:type="dxa" w:w="100"/>
              <w:bottom w:type="dxa" w:w="60"/>
              <w:right w:type="dxa" w:w="100"/>
            </w:tcMar>
            <w:vAlign w:val="center"/>
          </w:tcPr>
          <w:p>
            <w:r>
              <w:rPr>
                <w:rFonts w:ascii="Arial" w:cs="Arial" w:eastAsia="Arial" w:hAnsi="Arial"/>
                <w:b/>
                <w:bCs/>
                <w:sz w:val="22"/>
                <w:szCs w:val="22"/>
              </w:rPr>
              <w:t xml:space="preserve">Class Assessment</w:t>
            </w:r>
          </w:p>
        </w:tc>
        <w:tc>
          <w:tcPr>
            <w:tcW w:type="dxa" w:w="2453"/>
            <w:tcBorders>
              <w:top w:val="single" w:color="999999" w:sz="2"/>
              <w:left w:val="single" w:color="999999" w:sz="2"/>
              <w:bottom w:val="single" w:color="999999" w:sz="2"/>
              <w:right w:val="single" w:color="999999" w:sz="2"/>
            </w:tcBorders>
            <w:shd w:fill="D9E2F3" w:val="clear"/>
            <w:tcMar>
              <w:top w:type="dxa" w:w="60"/>
              <w:left w:type="dxa" w:w="100"/>
              <w:bottom w:type="dxa" w:w="60"/>
              <w:right w:type="dxa" w:w="100"/>
            </w:tcMar>
            <w:vAlign w:val="center"/>
          </w:tcPr>
          <w:p>
            <w:r>
              <w:rPr>
                <w:rFonts w:ascii="Arial" w:cs="Arial" w:eastAsia="Arial" w:hAnsi="Arial"/>
                <w:b/>
                <w:bCs/>
                <w:sz w:val="22"/>
                <w:szCs w:val="22"/>
              </w:rPr>
              <w:t xml:space="preserve">End Term</w:t>
            </w:r>
          </w:p>
        </w:tc>
      </w:tr>
      <w:tr>
        <w:tc>
          <w:tcPr>
            <w:tcW w:type="dxa" w:w="2000"/>
            <w:tcBorders>
              <w:top w:val="single" w:color="999999" w:sz="2"/>
              <w:left w:val="single" w:color="999999" w:sz="2"/>
              <w:bottom w:val="single" w:color="999999" w:sz="2"/>
              <w:right w:val="single" w:color="999999" w:sz="2"/>
            </w:tcBorders>
            <w:shd w:fill="F2F2F2" w:val="clear"/>
            <w:tcMar>
              <w:top w:type="dxa" w:w="60"/>
              <w:left w:type="dxa" w:w="100"/>
              <w:bottom w:type="dxa" w:w="60"/>
              <w:right w:type="dxa" w:w="100"/>
            </w:tcMar>
            <w:vAlign w:val="center"/>
          </w:tcPr>
          <w:p>
            <w:r>
              <w:rPr>
                <w:rFonts w:ascii="Arial" w:cs="Arial" w:eastAsia="Arial" w:hAnsi="Arial"/>
                <w:b/>
                <w:bCs/>
                <w:sz w:val="22"/>
                <w:szCs w:val="22"/>
              </w:rPr>
              <w:t xml:space="preserve">Weightage (%)</w:t>
            </w:r>
          </w:p>
        </w:tc>
        <w:tc>
          <w:tcPr>
            <w:tcW w:type="dxa" w:w="2453"/>
            <w:tcBorders>
              <w:top w:val="single" w:color="999999" w:sz="2"/>
              <w:left w:val="single" w:color="999999" w:sz="2"/>
              <w:bottom w:val="single" w:color="999999" w:sz="2"/>
              <w:right w:val="single" w:color="999999" w:sz="2"/>
            </w:tcBorders>
            <w:tcMar>
              <w:top w:type="dxa" w:w="60"/>
              <w:left w:type="dxa" w:w="100"/>
              <w:bottom w:type="dxa" w:w="60"/>
              <w:right w:type="dxa" w:w="100"/>
            </w:tcMar>
            <w:vAlign w:val="center"/>
          </w:tcPr>
          <w:p>
            <w:r>
              <w:rPr>
                <w:rFonts w:ascii="Arial" w:cs="Arial" w:eastAsia="Arial" w:hAnsi="Arial"/>
                <w:b w:val="false"/>
                <w:bCs w:val="false"/>
                <w:sz w:val="22"/>
                <w:szCs w:val="22"/>
              </w:rPr>
              <w:t xml:space="preserve">20</w:t>
            </w:r>
          </w:p>
        </w:tc>
        <w:tc>
          <w:tcPr>
            <w:tcW w:type="dxa" w:w="2453"/>
            <w:tcBorders>
              <w:top w:val="single" w:color="999999" w:sz="2"/>
              <w:left w:val="single" w:color="999999" w:sz="2"/>
              <w:bottom w:val="single" w:color="999999" w:sz="2"/>
              <w:right w:val="single" w:color="999999" w:sz="2"/>
            </w:tcBorders>
            <w:tcMar>
              <w:top w:type="dxa" w:w="60"/>
              <w:left w:type="dxa" w:w="100"/>
              <w:bottom w:type="dxa" w:w="60"/>
              <w:right w:type="dxa" w:w="100"/>
            </w:tcMar>
            <w:vAlign w:val="center"/>
          </w:tcPr>
          <w:p>
            <w:r>
              <w:rPr>
                <w:rFonts w:ascii="Arial" w:cs="Arial" w:eastAsia="Arial" w:hAnsi="Arial"/>
                <w:b w:val="false"/>
                <w:bCs w:val="false"/>
                <w:sz w:val="22"/>
                <w:szCs w:val="22"/>
              </w:rPr>
              <w:t xml:space="preserve">30</w:t>
            </w:r>
          </w:p>
        </w:tc>
        <w:tc>
          <w:tcPr>
            <w:tcW w:type="dxa" w:w="2453"/>
            <w:tcBorders>
              <w:top w:val="single" w:color="999999" w:sz="2"/>
              <w:left w:val="single" w:color="999999" w:sz="2"/>
              <w:bottom w:val="single" w:color="999999" w:sz="2"/>
              <w:right w:val="single" w:color="999999" w:sz="2"/>
            </w:tcBorders>
            <w:tcMar>
              <w:top w:type="dxa" w:w="60"/>
              <w:left w:type="dxa" w:w="100"/>
              <w:bottom w:type="dxa" w:w="60"/>
              <w:right w:type="dxa" w:w="100"/>
            </w:tcMar>
            <w:vAlign w:val="center"/>
          </w:tcPr>
          <w:p>
            <w:r>
              <w:rPr>
                <w:rFonts w:ascii="Arial" w:cs="Arial" w:eastAsia="Arial" w:hAnsi="Arial"/>
                <w:b w:val="false"/>
                <w:bCs w:val="false"/>
                <w:sz w:val="22"/>
                <w:szCs w:val="22"/>
              </w:rPr>
              <w:t xml:space="preserve">50</w:t>
            </w:r>
          </w:p>
        </w:tc>
      </w:tr>
    </w:tbl>
    <w:p>
      <w:pPr>
        <w:pBdr>
          <w:bottom w:val="single" w:color="2E75B6" w:sz="6" w:space="2"/>
        </w:pBdr>
        <w:spacing w:after="120" w:before="260"/>
      </w:pPr>
      <w:r>
        <w:rPr>
          <w:rFonts w:ascii="Arial" w:cs="Arial" w:eastAsia="Arial" w:hAnsi="Arial"/>
          <w:b/>
          <w:bCs/>
          <w:color w:val="1F3864"/>
          <w:sz w:val="26"/>
          <w:szCs w:val="26"/>
        </w:rPr>
        <w:t xml:space="preserve">CO–PO / PSO Articulation Matrix</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60"/>
        <w:gridCol w:w="540"/>
        <w:gridCol w:w="540"/>
        <w:gridCol w:w="540"/>
        <w:gridCol w:w="540"/>
        <w:gridCol w:w="540"/>
        <w:gridCol w:w="540"/>
        <w:gridCol w:w="540"/>
        <w:gridCol w:w="540"/>
        <w:gridCol w:w="540"/>
        <w:gridCol w:w="540"/>
        <w:gridCol w:w="540"/>
        <w:gridCol w:w="540"/>
        <w:gridCol w:w="540"/>
        <w:gridCol w:w="540"/>
        <w:gridCol w:w="540"/>
      </w:tblGrid>
      <w:tr>
        <w:trPr>
          <w:tblHeader/>
        </w:trPr>
        <w:tc>
          <w:tcPr>
            <w:tcW w:type="dxa" w:w="126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CO</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PO1</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PO2</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PO3</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PO4</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PO5</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PO6</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PO7</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PO8</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PO9</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PO10</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PO11</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PO12</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PSO1</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PSO2</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PSO3</w:t>
            </w:r>
          </w:p>
        </w:tc>
      </w:tr>
      <w:tr>
        <w:tc>
          <w:tcPr>
            <w:tcW w:type="dxa" w:w="1260"/>
            <w:tcBorders>
              <w:top w:val="single" w:color="999999" w:sz="2"/>
              <w:left w:val="single" w:color="999999" w:sz="2"/>
              <w:bottom w:val="single" w:color="999999" w:sz="2"/>
              <w:right w:val="single" w:color="999999" w:sz="2"/>
            </w:tcBorders>
            <w:shd w:fill="F2F2F2"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CO11184.1</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1</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1</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1</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r>
      <w:tr>
        <w:tc>
          <w:tcPr>
            <w:tcW w:type="dxa" w:w="1260"/>
            <w:tcBorders>
              <w:top w:val="single" w:color="999999" w:sz="2"/>
              <w:left w:val="single" w:color="999999" w:sz="2"/>
              <w:bottom w:val="single" w:color="999999" w:sz="2"/>
              <w:right w:val="single" w:color="999999" w:sz="2"/>
            </w:tcBorders>
            <w:shd w:fill="F2F2F2"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CO11184.2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1</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1</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1</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1</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r>
      <w:tr>
        <w:tc>
          <w:tcPr>
            <w:tcW w:type="dxa" w:w="1260"/>
            <w:tcBorders>
              <w:top w:val="single" w:color="999999" w:sz="2"/>
              <w:left w:val="single" w:color="999999" w:sz="2"/>
              <w:bottom w:val="single" w:color="999999" w:sz="2"/>
              <w:right w:val="single" w:color="999999" w:sz="2"/>
            </w:tcBorders>
            <w:shd w:fill="F2F2F2"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CO11184.3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1</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1</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r>
      <w:tr>
        <w:tc>
          <w:tcPr>
            <w:tcW w:type="dxa" w:w="1260"/>
            <w:tcBorders>
              <w:top w:val="single" w:color="999999" w:sz="2"/>
              <w:left w:val="single" w:color="999999" w:sz="2"/>
              <w:bottom w:val="single" w:color="999999" w:sz="2"/>
              <w:right w:val="single" w:color="999999" w:sz="2"/>
            </w:tcBorders>
            <w:shd w:fill="F2F2F2"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CO11184.4</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1</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1</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r>
      <w:tr>
        <w:tc>
          <w:tcPr>
            <w:tcW w:type="dxa" w:w="1260"/>
            <w:tcBorders>
              <w:top w:val="single" w:color="999999" w:sz="2"/>
              <w:left w:val="single" w:color="999999" w:sz="2"/>
              <w:bottom w:val="single" w:color="999999" w:sz="2"/>
              <w:right w:val="single" w:color="999999" w:sz="2"/>
            </w:tcBorders>
            <w:shd w:fill="F2F2F2"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CO11184.5</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1</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1</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1</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1</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r>
      <w:tr>
        <w:tc>
          <w:tcPr>
            <w:tcW w:type="dxa" w:w="1260"/>
            <w:tcBorders>
              <w:top w:val="single" w:color="999999" w:sz="2"/>
              <w:left w:val="single" w:color="999999" w:sz="2"/>
              <w:bottom w:val="single" w:color="999999" w:sz="2"/>
              <w:right w:val="single" w:color="999999" w:sz="2"/>
            </w:tcBorders>
            <w:shd w:fill="D9E2F3"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Average</w:t>
            </w:r>
          </w:p>
        </w:tc>
        <w:tc>
          <w:tcPr>
            <w:tcW w:type="dxa" w:w="540"/>
            <w:tcBorders>
              <w:top w:val="single" w:color="999999" w:sz="2"/>
              <w:left w:val="single" w:color="999999" w:sz="2"/>
              <w:bottom w:val="single" w:color="999999" w:sz="2"/>
              <w:right w:val="single" w:color="999999" w:sz="2"/>
            </w:tcBorders>
            <w:shd w:fill="D9E2F3"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2.4</w:t>
            </w:r>
          </w:p>
        </w:tc>
        <w:tc>
          <w:tcPr>
            <w:tcW w:type="dxa" w:w="540"/>
            <w:tcBorders>
              <w:top w:val="single" w:color="999999" w:sz="2"/>
              <w:left w:val="single" w:color="999999" w:sz="2"/>
              <w:bottom w:val="single" w:color="999999" w:sz="2"/>
              <w:right w:val="single" w:color="999999" w:sz="2"/>
            </w:tcBorders>
            <w:shd w:fill="D9E2F3"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2.4</w:t>
            </w:r>
          </w:p>
        </w:tc>
        <w:tc>
          <w:tcPr>
            <w:tcW w:type="dxa" w:w="540"/>
            <w:tcBorders>
              <w:top w:val="single" w:color="999999" w:sz="2"/>
              <w:left w:val="single" w:color="999999" w:sz="2"/>
              <w:bottom w:val="single" w:color="999999" w:sz="2"/>
              <w:right w:val="single" w:color="999999" w:sz="2"/>
            </w:tcBorders>
            <w:shd w:fill="D9E2F3"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2.2</w:t>
            </w:r>
          </w:p>
        </w:tc>
        <w:tc>
          <w:tcPr>
            <w:tcW w:type="dxa" w:w="540"/>
            <w:tcBorders>
              <w:top w:val="single" w:color="999999" w:sz="2"/>
              <w:left w:val="single" w:color="999999" w:sz="2"/>
              <w:bottom w:val="single" w:color="999999" w:sz="2"/>
              <w:right w:val="single" w:color="999999" w:sz="2"/>
            </w:tcBorders>
            <w:shd w:fill="D9E2F3"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2.0</w:t>
            </w:r>
          </w:p>
        </w:tc>
        <w:tc>
          <w:tcPr>
            <w:tcW w:type="dxa" w:w="540"/>
            <w:tcBorders>
              <w:top w:val="single" w:color="999999" w:sz="2"/>
              <w:left w:val="single" w:color="999999" w:sz="2"/>
              <w:bottom w:val="single" w:color="999999" w:sz="2"/>
              <w:right w:val="single" w:color="999999" w:sz="2"/>
            </w:tcBorders>
            <w:shd w:fill="D9E2F3"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2.6</w:t>
            </w:r>
          </w:p>
        </w:tc>
        <w:tc>
          <w:tcPr>
            <w:tcW w:type="dxa" w:w="540"/>
            <w:tcBorders>
              <w:top w:val="single" w:color="999999" w:sz="2"/>
              <w:left w:val="single" w:color="999999" w:sz="2"/>
              <w:bottom w:val="single" w:color="999999" w:sz="2"/>
              <w:right w:val="single" w:color="999999" w:sz="2"/>
            </w:tcBorders>
            <w:shd w:fill="D9E2F3"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1.8</w:t>
            </w:r>
          </w:p>
        </w:tc>
        <w:tc>
          <w:tcPr>
            <w:tcW w:type="dxa" w:w="540"/>
            <w:tcBorders>
              <w:top w:val="single" w:color="999999" w:sz="2"/>
              <w:left w:val="single" w:color="999999" w:sz="2"/>
              <w:bottom w:val="single" w:color="999999" w:sz="2"/>
              <w:right w:val="single" w:color="999999" w:sz="2"/>
            </w:tcBorders>
            <w:shd w:fill="D9E2F3"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2.0</w:t>
            </w:r>
          </w:p>
        </w:tc>
        <w:tc>
          <w:tcPr>
            <w:tcW w:type="dxa" w:w="540"/>
            <w:tcBorders>
              <w:top w:val="single" w:color="999999" w:sz="2"/>
              <w:left w:val="single" w:color="999999" w:sz="2"/>
              <w:bottom w:val="single" w:color="999999" w:sz="2"/>
              <w:right w:val="single" w:color="999999" w:sz="2"/>
            </w:tcBorders>
            <w:shd w:fill="D9E2F3"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w:t>
            </w:r>
          </w:p>
        </w:tc>
        <w:tc>
          <w:tcPr>
            <w:tcW w:type="dxa" w:w="540"/>
            <w:tcBorders>
              <w:top w:val="single" w:color="999999" w:sz="2"/>
              <w:left w:val="single" w:color="999999" w:sz="2"/>
              <w:bottom w:val="single" w:color="999999" w:sz="2"/>
              <w:right w:val="single" w:color="999999" w:sz="2"/>
            </w:tcBorders>
            <w:shd w:fill="D9E2F3"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1.8</w:t>
            </w:r>
          </w:p>
        </w:tc>
        <w:tc>
          <w:tcPr>
            <w:tcW w:type="dxa" w:w="540"/>
            <w:tcBorders>
              <w:top w:val="single" w:color="999999" w:sz="2"/>
              <w:left w:val="single" w:color="999999" w:sz="2"/>
              <w:bottom w:val="single" w:color="999999" w:sz="2"/>
              <w:right w:val="single" w:color="999999" w:sz="2"/>
            </w:tcBorders>
            <w:shd w:fill="D9E2F3"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w:t>
            </w:r>
          </w:p>
        </w:tc>
        <w:tc>
          <w:tcPr>
            <w:tcW w:type="dxa" w:w="540"/>
            <w:tcBorders>
              <w:top w:val="single" w:color="999999" w:sz="2"/>
              <w:left w:val="single" w:color="999999" w:sz="2"/>
              <w:bottom w:val="single" w:color="999999" w:sz="2"/>
              <w:right w:val="single" w:color="999999" w:sz="2"/>
            </w:tcBorders>
            <w:shd w:fill="D9E2F3"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w:t>
            </w:r>
          </w:p>
        </w:tc>
        <w:tc>
          <w:tcPr>
            <w:tcW w:type="dxa" w:w="540"/>
            <w:tcBorders>
              <w:top w:val="single" w:color="999999" w:sz="2"/>
              <w:left w:val="single" w:color="999999" w:sz="2"/>
              <w:bottom w:val="single" w:color="999999" w:sz="2"/>
              <w:right w:val="single" w:color="999999" w:sz="2"/>
            </w:tcBorders>
            <w:shd w:fill="D9E2F3"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2.4</w:t>
            </w:r>
          </w:p>
        </w:tc>
        <w:tc>
          <w:tcPr>
            <w:tcW w:type="dxa" w:w="540"/>
            <w:tcBorders>
              <w:top w:val="single" w:color="999999" w:sz="2"/>
              <w:left w:val="single" w:color="999999" w:sz="2"/>
              <w:bottom w:val="single" w:color="999999" w:sz="2"/>
              <w:right w:val="single" w:color="999999" w:sz="2"/>
            </w:tcBorders>
            <w:shd w:fill="D9E2F3"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1.8</w:t>
            </w:r>
          </w:p>
        </w:tc>
        <w:tc>
          <w:tcPr>
            <w:tcW w:type="dxa" w:w="540"/>
            <w:tcBorders>
              <w:top w:val="single" w:color="999999" w:sz="2"/>
              <w:left w:val="single" w:color="999999" w:sz="2"/>
              <w:bottom w:val="single" w:color="999999" w:sz="2"/>
              <w:right w:val="single" w:color="999999" w:sz="2"/>
            </w:tcBorders>
            <w:shd w:fill="D9E2F3"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2.0</w:t>
            </w:r>
          </w:p>
        </w:tc>
        <w:tc>
          <w:tcPr>
            <w:tcW w:type="dxa" w:w="540"/>
            <w:tcBorders>
              <w:top w:val="single" w:color="999999" w:sz="2"/>
              <w:left w:val="single" w:color="999999" w:sz="2"/>
              <w:bottom w:val="single" w:color="999999" w:sz="2"/>
              <w:right w:val="single" w:color="999999" w:sz="2"/>
            </w:tcBorders>
            <w:shd w:fill="D9E2F3"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2.4</w:t>
            </w:r>
          </w:p>
        </w:tc>
      </w:tr>
    </w:tbl>
    <w:p>
      <w:pPr>
        <w:spacing w:before="100"/>
      </w:pPr>
      <w:r>
        <w:rPr>
          <w:rFonts w:ascii="Arial" w:cs="Arial" w:eastAsia="Arial" w:hAnsi="Arial"/>
          <w:i/>
          <w:iCs/>
          <w:sz w:val="18"/>
          <w:szCs w:val="18"/>
        </w:rPr>
        <w:t xml:space="preserve">1 = Weakly Mapped   |   2 = Moderately Mapped   |   3 = Strongly Mapped   |   – = Not Mapped</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3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2026-06-27T07:30:00.162Z</dcterms:created>
  <dcterms:modified xsi:type="dcterms:W3CDTF">2026-06-27T07:30:00.162Z</dcterms:modified>
</cp:coreProperties>
</file>

<file path=docProps/custom.xml><?xml version="1.0" encoding="utf-8"?>
<Properties xmlns="http://schemas.openxmlformats.org/officeDocument/2006/custom-properties" xmlns:vt="http://schemas.openxmlformats.org/officeDocument/2006/docPropsVTypes"/>
</file>